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122C6" w14:textId="20D18219" w:rsidR="00A952CF" w:rsidRDefault="004D6A6B" w:rsidP="00EF6A06">
      <w:pPr>
        <w:rPr>
          <w:rFonts w:cstheme="minorHAnsi"/>
        </w:rPr>
      </w:pPr>
      <w:r>
        <w:rPr>
          <w:rFonts w:cstheme="minorHAnsi"/>
          <w:b/>
        </w:rPr>
        <w:t>Final Report</w:t>
      </w:r>
      <w:r w:rsidR="00EF6A06">
        <w:rPr>
          <w:rFonts w:cstheme="minorHAnsi"/>
          <w:b/>
        </w:rPr>
        <w:t xml:space="preserve">: </w:t>
      </w:r>
      <w:r w:rsidR="00A952CF" w:rsidRPr="00A52581">
        <w:rPr>
          <w:rFonts w:cstheme="minorHAnsi"/>
        </w:rPr>
        <w:t xml:space="preserve">Improving wheat disease management through seed treatment, head scab and foliar fungicide evaluation </w:t>
      </w:r>
    </w:p>
    <w:p w14:paraId="551586DB" w14:textId="77777777" w:rsidR="00EF6A06" w:rsidRPr="00EF6A06" w:rsidRDefault="00EF6A06" w:rsidP="00EF6A06">
      <w:pPr>
        <w:rPr>
          <w:rFonts w:cstheme="minorHAnsi"/>
          <w:b/>
        </w:rPr>
      </w:pPr>
    </w:p>
    <w:p w14:paraId="5E4FEEF1" w14:textId="67E779FC" w:rsidR="00EF6A06" w:rsidRPr="00A52581" w:rsidRDefault="00EF6A06" w:rsidP="00EF6A06">
      <w:pPr>
        <w:rPr>
          <w:rFonts w:cstheme="minorHAnsi"/>
        </w:rPr>
      </w:pPr>
      <w:r w:rsidRPr="00EF6A06">
        <w:rPr>
          <w:rFonts w:cstheme="minorHAnsi"/>
          <w:b/>
          <w:bCs/>
        </w:rPr>
        <w:t>MWP No.:</w:t>
      </w:r>
      <w:r>
        <w:rPr>
          <w:rFonts w:cstheme="minorHAnsi"/>
        </w:rPr>
        <w:t xml:space="preserve"> 21-08-02-AS</w:t>
      </w:r>
    </w:p>
    <w:p w14:paraId="7B71C2FE" w14:textId="4F1596CB" w:rsidR="00B548CF" w:rsidRDefault="00EF6A06" w:rsidP="00EF6A06">
      <w:pPr>
        <w:rPr>
          <w:rFonts w:cstheme="minorHAnsi"/>
        </w:rPr>
      </w:pPr>
      <w:r w:rsidRPr="00EF6A06">
        <w:rPr>
          <w:rFonts w:cstheme="minorHAnsi"/>
          <w:b/>
          <w:bCs/>
        </w:rPr>
        <w:t>MSU No.:</w:t>
      </w:r>
      <w:r>
        <w:rPr>
          <w:rFonts w:cstheme="minorHAnsi"/>
        </w:rPr>
        <w:t xml:space="preserve"> PD53395</w:t>
      </w:r>
    </w:p>
    <w:p w14:paraId="6ED5251F" w14:textId="394D7825" w:rsidR="00EF6A06" w:rsidRPr="00A52581" w:rsidRDefault="00EF6A06" w:rsidP="00EF6A06">
      <w:pPr>
        <w:rPr>
          <w:rFonts w:cstheme="minorHAnsi"/>
        </w:rPr>
      </w:pPr>
      <w:r w:rsidRPr="00EF6A06">
        <w:rPr>
          <w:rFonts w:cstheme="minorHAnsi"/>
          <w:b/>
          <w:bCs/>
        </w:rPr>
        <w:t>Project Period:</w:t>
      </w:r>
      <w:r>
        <w:rPr>
          <w:rFonts w:cstheme="minorHAnsi"/>
        </w:rPr>
        <w:t xml:space="preserve"> August 31, 2021 to December 31, 2022</w:t>
      </w:r>
    </w:p>
    <w:p w14:paraId="0325A44D" w14:textId="77777777" w:rsidR="00A52581" w:rsidRPr="00A52581" w:rsidRDefault="00A52581" w:rsidP="00EF6A06">
      <w:pPr>
        <w:rPr>
          <w:rFonts w:cstheme="minorHAnsi"/>
        </w:rPr>
      </w:pPr>
    </w:p>
    <w:p w14:paraId="2455E81E" w14:textId="0D4A65B0" w:rsidR="00566036" w:rsidRDefault="00EF6A06" w:rsidP="00EF6A06">
      <w:pPr>
        <w:rPr>
          <w:rFonts w:eastAsia="Times New Roman" w:cstheme="minorHAnsi"/>
        </w:rPr>
      </w:pPr>
      <w:r w:rsidRPr="00EF6A06">
        <w:rPr>
          <w:rFonts w:eastAsia="Times New Roman" w:cstheme="minorHAnsi"/>
          <w:b/>
          <w:bCs/>
        </w:rPr>
        <w:t>Team leader:</w:t>
      </w:r>
      <w:r>
        <w:rPr>
          <w:rFonts w:eastAsia="Times New Roman" w:cstheme="minorHAnsi"/>
        </w:rPr>
        <w:t xml:space="preserve"> </w:t>
      </w:r>
      <w:r w:rsidR="00566036" w:rsidRPr="00A52581">
        <w:rPr>
          <w:rFonts w:eastAsia="Times New Roman" w:cstheme="minorHAnsi"/>
        </w:rPr>
        <w:t>Martin Chilvers</w:t>
      </w:r>
      <w:r>
        <w:rPr>
          <w:rFonts w:eastAsia="Times New Roman" w:cstheme="minorHAnsi"/>
        </w:rPr>
        <w:t xml:space="preserve"> </w:t>
      </w:r>
      <w:r w:rsidR="00566036" w:rsidRPr="00A52581">
        <w:rPr>
          <w:rFonts w:eastAsia="Times New Roman" w:cstheme="minorHAnsi"/>
        </w:rPr>
        <w:t xml:space="preserve">Cell: 517-898-3049 Email: chilvers@msu.edu </w:t>
      </w:r>
    </w:p>
    <w:p w14:paraId="7EDB287E" w14:textId="7D61B53D" w:rsidR="00EF6A06" w:rsidRDefault="00EF6A06" w:rsidP="00EF6A06">
      <w:pPr>
        <w:rPr>
          <w:rFonts w:eastAsia="Times New Roman" w:cstheme="minorHAnsi"/>
        </w:rPr>
      </w:pPr>
      <w:r w:rsidRPr="00EF6A06">
        <w:rPr>
          <w:rFonts w:eastAsia="Times New Roman" w:cstheme="minorHAnsi"/>
          <w:b/>
          <w:bCs/>
        </w:rPr>
        <w:t>Project members:</w:t>
      </w:r>
      <w:r>
        <w:rPr>
          <w:rFonts w:eastAsia="Times New Roman" w:cstheme="minorHAnsi"/>
        </w:rPr>
        <w:t xml:space="preserve"> Janette Jacobs, Dr. Austin McCoy, William Widdicombe, Micalah Blohm</w:t>
      </w:r>
    </w:p>
    <w:p w14:paraId="5BEFA5DB" w14:textId="16BDCA49" w:rsidR="00EF6A06" w:rsidRPr="00A52581" w:rsidRDefault="00EF6A06" w:rsidP="00EF6A06">
      <w:pPr>
        <w:rPr>
          <w:rFonts w:eastAsia="Times New Roman" w:cstheme="minorHAnsi"/>
        </w:rPr>
      </w:pPr>
      <w:r w:rsidRPr="00EF6A06">
        <w:rPr>
          <w:rFonts w:eastAsia="Times New Roman" w:cstheme="minorHAnsi"/>
          <w:b/>
          <w:bCs/>
        </w:rPr>
        <w:t>Collaborators:</w:t>
      </w:r>
      <w:r>
        <w:rPr>
          <w:rFonts w:eastAsia="Times New Roman" w:cstheme="minorHAnsi"/>
        </w:rPr>
        <w:t xml:space="preserve"> Kurt Steinke – wheat fertility x fungicide management</w:t>
      </w:r>
    </w:p>
    <w:p w14:paraId="2663F8A5" w14:textId="561CDF29" w:rsidR="006B14DE" w:rsidRDefault="006B14DE" w:rsidP="00EF6A06">
      <w:pPr>
        <w:rPr>
          <w:rFonts w:cstheme="minorHAnsi"/>
        </w:rPr>
      </w:pPr>
    </w:p>
    <w:p w14:paraId="66EADFDB" w14:textId="5B9AB8E3" w:rsidR="008629F1" w:rsidRPr="00A52581" w:rsidRDefault="008629F1" w:rsidP="00EF6A06">
      <w:pPr>
        <w:rPr>
          <w:rFonts w:cstheme="minorHAnsi"/>
        </w:rPr>
      </w:pPr>
    </w:p>
    <w:p w14:paraId="4F78CF7F" w14:textId="286269BE" w:rsidR="00D502B0" w:rsidRPr="0001294E" w:rsidRDefault="00D502B0" w:rsidP="00EF6A06">
      <w:pPr>
        <w:rPr>
          <w:rFonts w:cstheme="minorHAnsi"/>
          <w:u w:val="single"/>
        </w:rPr>
      </w:pPr>
      <w:r w:rsidRPr="0001294E">
        <w:rPr>
          <w:rFonts w:cstheme="minorHAnsi"/>
          <w:b/>
          <w:u w:val="single"/>
        </w:rPr>
        <w:t>Project goals and value</w:t>
      </w:r>
      <w:r w:rsidR="004D2815" w:rsidRPr="0001294E">
        <w:rPr>
          <w:rFonts w:cstheme="minorHAnsi"/>
          <w:b/>
          <w:u w:val="single"/>
        </w:rPr>
        <w:t xml:space="preserve"> for Michigan Wheat Growers</w:t>
      </w:r>
      <w:r w:rsidRPr="0001294E">
        <w:rPr>
          <w:rFonts w:cstheme="minorHAnsi"/>
          <w:u w:val="single"/>
        </w:rPr>
        <w:t>:</w:t>
      </w:r>
    </w:p>
    <w:p w14:paraId="7C60157E" w14:textId="77777777" w:rsidR="00A52581" w:rsidRPr="00A52581" w:rsidRDefault="00A52581" w:rsidP="00EF6A06">
      <w:pPr>
        <w:ind w:firstLine="720"/>
        <w:rPr>
          <w:rFonts w:cstheme="minorHAnsi"/>
        </w:rPr>
      </w:pPr>
    </w:p>
    <w:p w14:paraId="2179760C" w14:textId="069C20A1" w:rsidR="00B548CF" w:rsidRPr="000416C7" w:rsidRDefault="000416C7" w:rsidP="00A52581">
      <w:pPr>
        <w:ind w:firstLine="720"/>
        <w:rPr>
          <w:rFonts w:cstheme="minorHAnsi"/>
        </w:rPr>
      </w:pPr>
      <w:r w:rsidRPr="00A52581">
        <w:rPr>
          <w:rFonts w:cstheme="minorHAnsi"/>
        </w:rPr>
        <w:t>Disease management in wheat is a critical component of crop production</w:t>
      </w:r>
      <w:r w:rsidR="006108F7" w:rsidRPr="00A52581">
        <w:rPr>
          <w:rFonts w:cstheme="minorHAnsi"/>
        </w:rPr>
        <w:t xml:space="preserve"> from both a yield and quality perspective</w:t>
      </w:r>
      <w:r w:rsidRPr="00A52581">
        <w:rPr>
          <w:rFonts w:cstheme="minorHAnsi"/>
        </w:rPr>
        <w:t xml:space="preserve">. In a previous </w:t>
      </w:r>
      <w:r w:rsidR="00A52581" w:rsidRPr="00A52581">
        <w:rPr>
          <w:rFonts w:cstheme="minorHAnsi"/>
        </w:rPr>
        <w:t>project,</w:t>
      </w:r>
      <w:r w:rsidRPr="00A52581">
        <w:rPr>
          <w:rFonts w:cstheme="minorHAnsi"/>
        </w:rPr>
        <w:t xml:space="preserve"> the lab examined species </w:t>
      </w:r>
      <w:r>
        <w:rPr>
          <w:rFonts w:cstheme="minorHAnsi"/>
        </w:rPr>
        <w:t xml:space="preserve">composition and fungicide sensitivity of </w:t>
      </w:r>
      <w:r w:rsidRPr="000416C7">
        <w:rPr>
          <w:rFonts w:cstheme="minorHAnsi"/>
          <w:i/>
        </w:rPr>
        <w:t>Fusarium</w:t>
      </w:r>
      <w:r>
        <w:rPr>
          <w:rFonts w:cstheme="minorHAnsi"/>
        </w:rPr>
        <w:t xml:space="preserve"> species causing head scab. Thankfully, there appears to be no </w:t>
      </w:r>
      <w:r w:rsidR="006108F7">
        <w:rPr>
          <w:rFonts w:cstheme="minorHAnsi"/>
        </w:rPr>
        <w:t xml:space="preserve">significant </w:t>
      </w:r>
      <w:r>
        <w:rPr>
          <w:rFonts w:cstheme="minorHAnsi"/>
        </w:rPr>
        <w:t xml:space="preserve">fungicide resistance </w:t>
      </w:r>
      <w:r w:rsidR="001459F4">
        <w:rPr>
          <w:rFonts w:cstheme="minorHAnsi"/>
        </w:rPr>
        <w:t xml:space="preserve">in the </w:t>
      </w:r>
      <w:r w:rsidR="001459F4" w:rsidRPr="001459F4">
        <w:rPr>
          <w:rFonts w:cstheme="minorHAnsi"/>
          <w:i/>
        </w:rPr>
        <w:t>Fusarium graminearum</w:t>
      </w:r>
      <w:r w:rsidR="001459F4">
        <w:rPr>
          <w:rFonts w:cstheme="minorHAnsi"/>
        </w:rPr>
        <w:t xml:space="preserve"> </w:t>
      </w:r>
      <w:r>
        <w:rPr>
          <w:rFonts w:cstheme="minorHAnsi"/>
        </w:rPr>
        <w:t xml:space="preserve">to the DMI </w:t>
      </w:r>
      <w:r w:rsidR="006108F7">
        <w:rPr>
          <w:rFonts w:cstheme="minorHAnsi"/>
        </w:rPr>
        <w:t xml:space="preserve">fungicide </w:t>
      </w:r>
      <w:r>
        <w:rPr>
          <w:rFonts w:cstheme="minorHAnsi"/>
        </w:rPr>
        <w:t>products that have been used for a number of years, nor the recently released SDHI</w:t>
      </w:r>
      <w:r w:rsidR="006108F7">
        <w:rPr>
          <w:rFonts w:cstheme="minorHAnsi"/>
        </w:rPr>
        <w:t xml:space="preserve"> fungicide (pydiflumetofen)</w:t>
      </w:r>
      <w:r>
        <w:rPr>
          <w:rFonts w:cstheme="minorHAnsi"/>
        </w:rPr>
        <w:t xml:space="preserve">, which is a component of Miravis Ace. </w:t>
      </w:r>
      <w:r w:rsidR="001459F4">
        <w:rPr>
          <w:rFonts w:cstheme="minorHAnsi"/>
        </w:rPr>
        <w:t xml:space="preserve">Contrary to this, isolates of </w:t>
      </w:r>
      <w:r w:rsidR="001459F4" w:rsidRPr="001459F4">
        <w:rPr>
          <w:rFonts w:cstheme="minorHAnsi"/>
          <w:i/>
        </w:rPr>
        <w:t>Zymoseptoria tritici</w:t>
      </w:r>
      <w:r w:rsidR="001459F4">
        <w:rPr>
          <w:rFonts w:cstheme="minorHAnsi"/>
        </w:rPr>
        <w:t xml:space="preserve"> (Septoria blotch) sent to international colleagues do appear to be resistant to some fungicide chemistries. </w:t>
      </w:r>
      <w:r w:rsidR="006108F7">
        <w:rPr>
          <w:rFonts w:cstheme="minorHAnsi"/>
        </w:rPr>
        <w:t>We also completed a meta-</w:t>
      </w:r>
      <w:r w:rsidR="001459F4">
        <w:rPr>
          <w:rFonts w:cstheme="minorHAnsi"/>
        </w:rPr>
        <w:t>analysis, which</w:t>
      </w:r>
      <w:r w:rsidR="006108F7">
        <w:rPr>
          <w:rFonts w:cstheme="minorHAnsi"/>
        </w:rPr>
        <w:t xml:space="preserve"> determine</w:t>
      </w:r>
      <w:r w:rsidR="001459F4">
        <w:rPr>
          <w:rFonts w:cstheme="minorHAnsi"/>
        </w:rPr>
        <w:t>d</w:t>
      </w:r>
      <w:r w:rsidR="006108F7">
        <w:rPr>
          <w:rFonts w:cstheme="minorHAnsi"/>
        </w:rPr>
        <w:t xml:space="preserve"> that there was on average a 4 bu/A advantage to a fungicide application in early spring, and a 6-7 bu/A advantage for either a flag leaf or flowering fungicide application. A combination of fungicide applications results in a 10-11 bu/A advantage over not treating. In this project, we will continue to examine aspects of wheat disease management, which will focus on seed treatments</w:t>
      </w:r>
      <w:r w:rsidR="00A52581">
        <w:rPr>
          <w:rFonts w:cstheme="minorHAnsi"/>
        </w:rPr>
        <w:t xml:space="preserve"> </w:t>
      </w:r>
      <w:r w:rsidR="006108F7">
        <w:rPr>
          <w:rFonts w:cstheme="minorHAnsi"/>
        </w:rPr>
        <w:t>in collaboration with UW-Madison</w:t>
      </w:r>
      <w:r w:rsidR="00A52581">
        <w:rPr>
          <w:rFonts w:cstheme="minorHAnsi"/>
        </w:rPr>
        <w:t xml:space="preserve"> and Dennis Pennington. F</w:t>
      </w:r>
      <w:r w:rsidR="006108F7">
        <w:rPr>
          <w:rFonts w:cstheme="minorHAnsi"/>
        </w:rPr>
        <w:t xml:space="preserve">oliar </w:t>
      </w:r>
      <w:r w:rsidR="00A52581">
        <w:rPr>
          <w:rFonts w:cstheme="minorHAnsi"/>
        </w:rPr>
        <w:t xml:space="preserve">disease </w:t>
      </w:r>
      <w:r w:rsidR="006108F7">
        <w:rPr>
          <w:rFonts w:cstheme="minorHAnsi"/>
        </w:rPr>
        <w:t>and head scab fungicide timing and product evaluation</w:t>
      </w:r>
      <w:r w:rsidR="00A52581">
        <w:rPr>
          <w:rFonts w:cstheme="minorHAnsi"/>
        </w:rPr>
        <w:t>s will also be conducted to create fungicide efficacy charts</w:t>
      </w:r>
      <w:r w:rsidR="006108F7">
        <w:rPr>
          <w:rFonts w:cstheme="minorHAnsi"/>
        </w:rPr>
        <w:t xml:space="preserve">. We will work with Dr. Kurt Steinke to examine the role of inputs in high management </w:t>
      </w:r>
      <w:r w:rsidR="00A52581">
        <w:rPr>
          <w:rFonts w:cstheme="minorHAnsi"/>
        </w:rPr>
        <w:t xml:space="preserve">of </w:t>
      </w:r>
      <w:r w:rsidR="006108F7">
        <w:rPr>
          <w:rFonts w:cstheme="minorHAnsi"/>
        </w:rPr>
        <w:t>wheat</w:t>
      </w:r>
      <w:r w:rsidR="00A52581">
        <w:rPr>
          <w:rFonts w:cstheme="minorHAnsi"/>
        </w:rPr>
        <w:t xml:space="preserve"> under irrigation</w:t>
      </w:r>
      <w:r w:rsidR="006108F7">
        <w:rPr>
          <w:rFonts w:cstheme="minorHAnsi"/>
        </w:rPr>
        <w:t xml:space="preserve">, including multiple fungicide applications. We will also work with growers, agribusiness and the diagnostic clinic to address disease issues as they arise during the season. For example, there appears to be a recent increase in the incidence of smut/bunt, which has resulted in the rejection of grain at the elevator. </w:t>
      </w:r>
    </w:p>
    <w:p w14:paraId="77401DB3" w14:textId="77777777" w:rsidR="00B548CF" w:rsidRDefault="00B548CF" w:rsidP="00EF6A06">
      <w:pPr>
        <w:rPr>
          <w:rFonts w:cstheme="minorHAnsi"/>
        </w:rPr>
      </w:pPr>
    </w:p>
    <w:p w14:paraId="1F755CC0" w14:textId="77777777" w:rsidR="0001294E" w:rsidRPr="00DA5C9F" w:rsidRDefault="0001294E" w:rsidP="0001294E">
      <w:pPr>
        <w:rPr>
          <w:u w:val="single"/>
        </w:rPr>
      </w:pPr>
      <w:r w:rsidRPr="00DA5C9F">
        <w:rPr>
          <w:b/>
          <w:u w:val="single"/>
        </w:rPr>
        <w:t>Results of Project</w:t>
      </w:r>
      <w:r w:rsidRPr="00DA5C9F">
        <w:rPr>
          <w:u w:val="single"/>
        </w:rPr>
        <w:t xml:space="preserve">: </w:t>
      </w:r>
    </w:p>
    <w:p w14:paraId="49EE5398" w14:textId="2A70EBB9" w:rsidR="00B548CF" w:rsidRPr="000416C7" w:rsidRDefault="00B548CF" w:rsidP="001459F4">
      <w:pPr>
        <w:rPr>
          <w:rFonts w:cstheme="minorHAnsi"/>
        </w:rPr>
      </w:pPr>
    </w:p>
    <w:p w14:paraId="18A82E0D" w14:textId="06FB6F62" w:rsidR="003E0876" w:rsidRDefault="003E0876" w:rsidP="008629F1">
      <w:pPr>
        <w:jc w:val="center"/>
        <w:rPr>
          <w:rFonts w:cstheme="minorHAnsi"/>
        </w:rPr>
      </w:pPr>
    </w:p>
    <w:p w14:paraId="76ECC117" w14:textId="3620587E" w:rsidR="003E0876" w:rsidRPr="003E0876" w:rsidRDefault="003E0876" w:rsidP="003E0876">
      <w:pPr>
        <w:rPr>
          <w:rFonts w:cstheme="minorHAnsi"/>
          <w:b/>
        </w:rPr>
      </w:pPr>
      <w:r w:rsidRPr="003E0876">
        <w:rPr>
          <w:rFonts w:cstheme="minorHAnsi"/>
          <w:b/>
        </w:rPr>
        <w:t xml:space="preserve">Wheat seed treatment </w:t>
      </w:r>
    </w:p>
    <w:p w14:paraId="6EB9B2AB" w14:textId="540197F5" w:rsidR="003E0876" w:rsidRDefault="003E0876" w:rsidP="003E0876">
      <w:pPr>
        <w:rPr>
          <w:rFonts w:cstheme="minorHAnsi"/>
        </w:rPr>
      </w:pPr>
      <w:r>
        <w:rPr>
          <w:rFonts w:cstheme="minorHAnsi"/>
        </w:rPr>
        <w:t>In collaboration with UW-Madison we initiated a wheat seed treatment trial in 2020/2021 season</w:t>
      </w:r>
      <w:r w:rsidR="00790BFD">
        <w:rPr>
          <w:rFonts w:cstheme="minorHAnsi"/>
        </w:rPr>
        <w:t xml:space="preserve"> and repeated that in 2021/2022. </w:t>
      </w:r>
      <w:r>
        <w:rPr>
          <w:rFonts w:cstheme="minorHAnsi"/>
        </w:rPr>
        <w:t>The</w:t>
      </w:r>
      <w:r w:rsidR="00ED21A8">
        <w:rPr>
          <w:rFonts w:cstheme="minorHAnsi"/>
        </w:rPr>
        <w:t xml:space="preserve"> seed treatment</w:t>
      </w:r>
      <w:r>
        <w:rPr>
          <w:rFonts w:cstheme="minorHAnsi"/>
        </w:rPr>
        <w:t xml:space="preserve"> trial</w:t>
      </w:r>
      <w:r w:rsidR="00ED21A8">
        <w:rPr>
          <w:rFonts w:cstheme="minorHAnsi"/>
        </w:rPr>
        <w:t>s were</w:t>
      </w:r>
      <w:r>
        <w:rPr>
          <w:rFonts w:cstheme="minorHAnsi"/>
        </w:rPr>
        <w:t xml:space="preserve"> planted </w:t>
      </w:r>
      <w:r w:rsidR="00A739EE">
        <w:rPr>
          <w:rFonts w:cstheme="minorHAnsi"/>
        </w:rPr>
        <w:t xml:space="preserve">by Dennis Pennington </w:t>
      </w:r>
      <w:r>
        <w:rPr>
          <w:rFonts w:cstheme="minorHAnsi"/>
        </w:rPr>
        <w:t xml:space="preserve">at </w:t>
      </w:r>
      <w:r w:rsidR="00A739EE">
        <w:rPr>
          <w:rFonts w:cstheme="minorHAnsi"/>
        </w:rPr>
        <w:t xml:space="preserve">the </w:t>
      </w:r>
      <w:r w:rsidR="00B13ED8">
        <w:rPr>
          <w:rFonts w:cstheme="minorHAnsi"/>
        </w:rPr>
        <w:t xml:space="preserve">wheat performance trial locations in 2020/2021 of </w:t>
      </w:r>
      <w:r w:rsidR="00A739EE">
        <w:rPr>
          <w:rFonts w:cstheme="minorHAnsi"/>
        </w:rPr>
        <w:t>Mason, Huron, Lenawee and SVREC</w:t>
      </w:r>
      <w:r w:rsidR="00B13ED8">
        <w:rPr>
          <w:rFonts w:cstheme="minorHAnsi"/>
        </w:rPr>
        <w:t xml:space="preserve">, and in 2021/2022 of Mason, Huron, Montcalm, and SVREC. </w:t>
      </w:r>
      <w:r w:rsidR="00ED21A8">
        <w:rPr>
          <w:rFonts w:cstheme="minorHAnsi"/>
        </w:rPr>
        <w:t xml:space="preserve">The seed treatments consisted of a non-treated control and four seed treatments on two varieties as listed in table 1. In the spring Canapeo measurements were taken and plants collected to conduct isolates to determine what potential root rot organisms were present. A number of fungi and oomycete species were </w:t>
      </w:r>
      <w:r w:rsidR="00B13ED8">
        <w:rPr>
          <w:rFonts w:cstheme="minorHAnsi"/>
        </w:rPr>
        <w:t>recovered,</w:t>
      </w:r>
      <w:r w:rsidR="00ED21A8">
        <w:rPr>
          <w:rFonts w:cstheme="minorHAnsi"/>
        </w:rPr>
        <w:t xml:space="preserve"> and we are currently identifying them in the lab and determining their pathogenicity</w:t>
      </w:r>
      <w:r w:rsidR="00790BFD">
        <w:rPr>
          <w:rFonts w:cstheme="minorHAnsi"/>
        </w:rPr>
        <w:t xml:space="preserve"> and fungicide sensitivity. </w:t>
      </w:r>
      <w:r w:rsidR="00B13ED8">
        <w:rPr>
          <w:rFonts w:cstheme="minorHAnsi"/>
        </w:rPr>
        <w:t xml:space="preserve">Our colleagues at UW-Madison are assembling the multistate data for this study. </w:t>
      </w:r>
    </w:p>
    <w:p w14:paraId="094527AB" w14:textId="03D8B5D3" w:rsidR="00ED21A8" w:rsidRDefault="00ED21A8" w:rsidP="003E0876">
      <w:pPr>
        <w:rPr>
          <w:rFonts w:cstheme="minorHAnsi"/>
        </w:rPr>
      </w:pPr>
    </w:p>
    <w:p w14:paraId="2BC41082" w14:textId="3CB76C26" w:rsidR="00183C7E" w:rsidRDefault="00183C7E" w:rsidP="003E0876">
      <w:pPr>
        <w:rPr>
          <w:rFonts w:cstheme="minorHAnsi"/>
        </w:rPr>
      </w:pPr>
      <w:r>
        <w:rPr>
          <w:rFonts w:cstheme="minorHAnsi"/>
        </w:rPr>
        <w:t>Table 1: Wheat seed treatment entry list.</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986"/>
        <w:gridCol w:w="5158"/>
        <w:gridCol w:w="1070"/>
      </w:tblGrid>
      <w:tr w:rsidR="00ED21A8" w:rsidRPr="003E0876" w14:paraId="31F190A4" w14:textId="77777777" w:rsidTr="009C7095">
        <w:trPr>
          <w:trHeight w:val="290"/>
          <w:jc w:val="center"/>
        </w:trPr>
        <w:tc>
          <w:tcPr>
            <w:tcW w:w="1249" w:type="dxa"/>
            <w:shd w:val="clear" w:color="auto" w:fill="auto"/>
            <w:noWrap/>
            <w:vAlign w:val="bottom"/>
            <w:hideMark/>
          </w:tcPr>
          <w:p w14:paraId="0DC0C31B" w14:textId="77777777" w:rsidR="00ED21A8" w:rsidRPr="003E0876" w:rsidRDefault="00ED21A8" w:rsidP="003E0876">
            <w:pPr>
              <w:jc w:val="center"/>
              <w:rPr>
                <w:rFonts w:ascii="Calibri" w:eastAsia="Times New Roman" w:hAnsi="Calibri" w:cs="Calibri"/>
                <w:color w:val="000000"/>
              </w:rPr>
            </w:pPr>
            <w:r w:rsidRPr="003E0876">
              <w:rPr>
                <w:rFonts w:ascii="Calibri" w:eastAsia="Times New Roman" w:hAnsi="Calibri" w:cs="Calibri"/>
                <w:color w:val="000000"/>
              </w:rPr>
              <w:t>Treatments</w:t>
            </w:r>
          </w:p>
        </w:tc>
        <w:tc>
          <w:tcPr>
            <w:tcW w:w="1986" w:type="dxa"/>
            <w:shd w:val="clear" w:color="auto" w:fill="auto"/>
            <w:noWrap/>
            <w:vAlign w:val="bottom"/>
            <w:hideMark/>
          </w:tcPr>
          <w:p w14:paraId="37098D12" w14:textId="06134BE5" w:rsidR="00ED21A8" w:rsidRPr="003E0876" w:rsidRDefault="00ED21A8" w:rsidP="003E0876">
            <w:pPr>
              <w:rPr>
                <w:rFonts w:ascii="Calibri" w:eastAsia="Times New Roman" w:hAnsi="Calibri" w:cs="Calibri"/>
                <w:color w:val="000000"/>
              </w:rPr>
            </w:pPr>
            <w:r>
              <w:rPr>
                <w:rFonts w:ascii="Calibri" w:eastAsia="Times New Roman" w:hAnsi="Calibri" w:cs="Calibri"/>
                <w:color w:val="000000"/>
              </w:rPr>
              <w:t>Seed treatment</w:t>
            </w:r>
          </w:p>
        </w:tc>
        <w:tc>
          <w:tcPr>
            <w:tcW w:w="5158" w:type="dxa"/>
          </w:tcPr>
          <w:p w14:paraId="3CEEB02C" w14:textId="77777777" w:rsidR="00ED21A8" w:rsidRPr="003E0876" w:rsidRDefault="00ED21A8" w:rsidP="003E0876">
            <w:pPr>
              <w:rPr>
                <w:rFonts w:ascii="Calibri" w:eastAsia="Times New Roman" w:hAnsi="Calibri" w:cs="Calibri"/>
                <w:color w:val="000000"/>
              </w:rPr>
            </w:pPr>
          </w:p>
        </w:tc>
        <w:tc>
          <w:tcPr>
            <w:tcW w:w="1070" w:type="dxa"/>
            <w:shd w:val="clear" w:color="auto" w:fill="auto"/>
            <w:noWrap/>
            <w:vAlign w:val="bottom"/>
            <w:hideMark/>
          </w:tcPr>
          <w:p w14:paraId="0475B01A" w14:textId="271DCA82"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Variety</w:t>
            </w:r>
          </w:p>
        </w:tc>
      </w:tr>
      <w:tr w:rsidR="00ED21A8" w:rsidRPr="003E0876" w14:paraId="72D2B260" w14:textId="77777777" w:rsidTr="009C7095">
        <w:trPr>
          <w:trHeight w:val="290"/>
          <w:jc w:val="center"/>
        </w:trPr>
        <w:tc>
          <w:tcPr>
            <w:tcW w:w="1249" w:type="dxa"/>
            <w:shd w:val="clear" w:color="auto" w:fill="auto"/>
            <w:noWrap/>
            <w:vAlign w:val="center"/>
            <w:hideMark/>
          </w:tcPr>
          <w:p w14:paraId="1B46AA17" w14:textId="77777777" w:rsidR="00ED21A8" w:rsidRPr="003E0876" w:rsidRDefault="00ED21A8" w:rsidP="003E0876">
            <w:pPr>
              <w:jc w:val="center"/>
              <w:rPr>
                <w:rFonts w:ascii="Calibri" w:eastAsia="Times New Roman" w:hAnsi="Calibri" w:cs="Calibri"/>
                <w:color w:val="000000"/>
              </w:rPr>
            </w:pPr>
            <w:r w:rsidRPr="003E0876">
              <w:rPr>
                <w:rFonts w:ascii="Calibri" w:eastAsia="Times New Roman" w:hAnsi="Calibri" w:cs="Calibri"/>
                <w:color w:val="000000"/>
              </w:rPr>
              <w:lastRenderedPageBreak/>
              <w:t>1</w:t>
            </w:r>
          </w:p>
        </w:tc>
        <w:tc>
          <w:tcPr>
            <w:tcW w:w="1986" w:type="dxa"/>
            <w:shd w:val="clear" w:color="auto" w:fill="auto"/>
            <w:noWrap/>
            <w:vAlign w:val="center"/>
            <w:hideMark/>
          </w:tcPr>
          <w:p w14:paraId="00F7E4EA" w14:textId="77777777"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Control</w:t>
            </w:r>
          </w:p>
        </w:tc>
        <w:tc>
          <w:tcPr>
            <w:tcW w:w="5158" w:type="dxa"/>
            <w:vAlign w:val="center"/>
          </w:tcPr>
          <w:p w14:paraId="33CAC848" w14:textId="1E321C37" w:rsidR="00ED21A8" w:rsidRPr="003E0876" w:rsidRDefault="009C7095" w:rsidP="003E0876">
            <w:pPr>
              <w:rPr>
                <w:rFonts w:ascii="Calibri" w:eastAsia="Times New Roman" w:hAnsi="Calibri" w:cs="Calibri"/>
                <w:color w:val="000000"/>
              </w:rPr>
            </w:pPr>
            <w:r>
              <w:rPr>
                <w:rFonts w:ascii="Calibri" w:eastAsia="Times New Roman" w:hAnsi="Calibri" w:cs="Calibri"/>
                <w:color w:val="000000"/>
              </w:rPr>
              <w:t>N/A</w:t>
            </w:r>
          </w:p>
        </w:tc>
        <w:tc>
          <w:tcPr>
            <w:tcW w:w="1070" w:type="dxa"/>
            <w:shd w:val="clear" w:color="auto" w:fill="auto"/>
            <w:noWrap/>
            <w:vAlign w:val="center"/>
            <w:hideMark/>
          </w:tcPr>
          <w:p w14:paraId="41158D18" w14:textId="2BE964BF"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Harpoon</w:t>
            </w:r>
          </w:p>
        </w:tc>
      </w:tr>
      <w:tr w:rsidR="00ED21A8" w:rsidRPr="003E0876" w14:paraId="730E38D3" w14:textId="77777777" w:rsidTr="009C7095">
        <w:trPr>
          <w:trHeight w:val="290"/>
          <w:jc w:val="center"/>
        </w:trPr>
        <w:tc>
          <w:tcPr>
            <w:tcW w:w="1249" w:type="dxa"/>
            <w:shd w:val="clear" w:color="auto" w:fill="auto"/>
            <w:noWrap/>
            <w:vAlign w:val="center"/>
            <w:hideMark/>
          </w:tcPr>
          <w:p w14:paraId="1811FE52" w14:textId="77777777" w:rsidR="00ED21A8" w:rsidRPr="003E0876" w:rsidRDefault="00ED21A8" w:rsidP="003E0876">
            <w:pPr>
              <w:jc w:val="center"/>
              <w:rPr>
                <w:rFonts w:ascii="Calibri" w:eastAsia="Times New Roman" w:hAnsi="Calibri" w:cs="Calibri"/>
                <w:color w:val="000000"/>
              </w:rPr>
            </w:pPr>
            <w:r w:rsidRPr="003E0876">
              <w:rPr>
                <w:rFonts w:ascii="Calibri" w:eastAsia="Times New Roman" w:hAnsi="Calibri" w:cs="Calibri"/>
                <w:color w:val="000000"/>
              </w:rPr>
              <w:t>2</w:t>
            </w:r>
          </w:p>
        </w:tc>
        <w:tc>
          <w:tcPr>
            <w:tcW w:w="1986" w:type="dxa"/>
            <w:shd w:val="clear" w:color="auto" w:fill="auto"/>
            <w:noWrap/>
            <w:vAlign w:val="center"/>
            <w:hideMark/>
          </w:tcPr>
          <w:p w14:paraId="05564392" w14:textId="77777777"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Raxil Pro Shield</w:t>
            </w:r>
          </w:p>
        </w:tc>
        <w:tc>
          <w:tcPr>
            <w:tcW w:w="5158" w:type="dxa"/>
            <w:vAlign w:val="center"/>
          </w:tcPr>
          <w:p w14:paraId="0BB234A2" w14:textId="40423135" w:rsidR="00ED21A8" w:rsidRPr="003E0876" w:rsidRDefault="00ED21A8" w:rsidP="003E0876">
            <w:pPr>
              <w:rPr>
                <w:rFonts w:ascii="Calibri" w:eastAsia="Times New Roman" w:hAnsi="Calibri" w:cs="Calibri"/>
                <w:color w:val="000000"/>
              </w:rPr>
            </w:pPr>
            <w:r>
              <w:rPr>
                <w:rFonts w:ascii="Calibri" w:eastAsia="Times New Roman" w:hAnsi="Calibri" w:cs="Calibri"/>
                <w:color w:val="000000"/>
              </w:rPr>
              <w:t>Imidacloprid (insecticide), metalaxyl (oomycide), tebuconazole (fungicide), prothioconazole (fungicide)</w:t>
            </w:r>
          </w:p>
        </w:tc>
        <w:tc>
          <w:tcPr>
            <w:tcW w:w="1070" w:type="dxa"/>
            <w:shd w:val="clear" w:color="auto" w:fill="auto"/>
            <w:noWrap/>
            <w:vAlign w:val="center"/>
            <w:hideMark/>
          </w:tcPr>
          <w:p w14:paraId="596AD8DB" w14:textId="05724448"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Harpoon</w:t>
            </w:r>
          </w:p>
        </w:tc>
      </w:tr>
      <w:tr w:rsidR="00ED21A8" w:rsidRPr="003E0876" w14:paraId="568DDA81" w14:textId="77777777" w:rsidTr="009C7095">
        <w:trPr>
          <w:trHeight w:val="290"/>
          <w:jc w:val="center"/>
        </w:trPr>
        <w:tc>
          <w:tcPr>
            <w:tcW w:w="1249" w:type="dxa"/>
            <w:shd w:val="clear" w:color="auto" w:fill="auto"/>
            <w:noWrap/>
            <w:vAlign w:val="center"/>
            <w:hideMark/>
          </w:tcPr>
          <w:p w14:paraId="03A6ECBE" w14:textId="77777777" w:rsidR="00ED21A8" w:rsidRPr="003E0876" w:rsidRDefault="00ED21A8" w:rsidP="003E0876">
            <w:pPr>
              <w:jc w:val="center"/>
              <w:rPr>
                <w:rFonts w:ascii="Calibri" w:eastAsia="Times New Roman" w:hAnsi="Calibri" w:cs="Calibri"/>
                <w:color w:val="000000"/>
              </w:rPr>
            </w:pPr>
            <w:r w:rsidRPr="003E0876">
              <w:rPr>
                <w:rFonts w:ascii="Calibri" w:eastAsia="Times New Roman" w:hAnsi="Calibri" w:cs="Calibri"/>
                <w:color w:val="000000"/>
              </w:rPr>
              <w:t>3</w:t>
            </w:r>
          </w:p>
        </w:tc>
        <w:tc>
          <w:tcPr>
            <w:tcW w:w="1986" w:type="dxa"/>
            <w:shd w:val="clear" w:color="auto" w:fill="auto"/>
            <w:noWrap/>
            <w:vAlign w:val="center"/>
            <w:hideMark/>
          </w:tcPr>
          <w:p w14:paraId="35D4F2B1" w14:textId="77777777"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Cruiser Maxx Vibrance cereals</w:t>
            </w:r>
          </w:p>
        </w:tc>
        <w:tc>
          <w:tcPr>
            <w:tcW w:w="5158" w:type="dxa"/>
            <w:vAlign w:val="center"/>
          </w:tcPr>
          <w:p w14:paraId="0040AAB3" w14:textId="6A73AD38" w:rsidR="00ED21A8" w:rsidRPr="003E0876" w:rsidRDefault="00ED21A8" w:rsidP="003E0876">
            <w:pPr>
              <w:rPr>
                <w:rFonts w:ascii="Calibri" w:eastAsia="Times New Roman" w:hAnsi="Calibri" w:cs="Calibri"/>
                <w:color w:val="000000"/>
              </w:rPr>
            </w:pPr>
            <w:r>
              <w:rPr>
                <w:rFonts w:ascii="Calibri" w:eastAsia="Times New Roman" w:hAnsi="Calibri" w:cs="Calibri"/>
                <w:color w:val="000000"/>
              </w:rPr>
              <w:t>Thiamethoxam (insecticide), sedaxane (fungicide), difenoconazole (fungicide), mefenoxam (oomycide)</w:t>
            </w:r>
          </w:p>
        </w:tc>
        <w:tc>
          <w:tcPr>
            <w:tcW w:w="1070" w:type="dxa"/>
            <w:shd w:val="clear" w:color="auto" w:fill="auto"/>
            <w:noWrap/>
            <w:vAlign w:val="center"/>
            <w:hideMark/>
          </w:tcPr>
          <w:p w14:paraId="456F3695" w14:textId="4E99E05A"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Harpoon</w:t>
            </w:r>
          </w:p>
        </w:tc>
      </w:tr>
      <w:tr w:rsidR="00ED21A8" w:rsidRPr="003E0876" w14:paraId="180BD1C1" w14:textId="77777777" w:rsidTr="009C7095">
        <w:trPr>
          <w:trHeight w:val="290"/>
          <w:jc w:val="center"/>
        </w:trPr>
        <w:tc>
          <w:tcPr>
            <w:tcW w:w="1249" w:type="dxa"/>
            <w:shd w:val="clear" w:color="auto" w:fill="auto"/>
            <w:noWrap/>
            <w:vAlign w:val="center"/>
            <w:hideMark/>
          </w:tcPr>
          <w:p w14:paraId="1B0461AE" w14:textId="77777777" w:rsidR="00ED21A8" w:rsidRPr="003E0876" w:rsidRDefault="00ED21A8" w:rsidP="003E0876">
            <w:pPr>
              <w:jc w:val="center"/>
              <w:rPr>
                <w:rFonts w:ascii="Calibri" w:eastAsia="Times New Roman" w:hAnsi="Calibri" w:cs="Calibri"/>
                <w:color w:val="000000"/>
              </w:rPr>
            </w:pPr>
            <w:r w:rsidRPr="003E0876">
              <w:rPr>
                <w:rFonts w:ascii="Calibri" w:eastAsia="Times New Roman" w:hAnsi="Calibri" w:cs="Calibri"/>
                <w:color w:val="000000"/>
              </w:rPr>
              <w:t>4</w:t>
            </w:r>
          </w:p>
        </w:tc>
        <w:tc>
          <w:tcPr>
            <w:tcW w:w="1986" w:type="dxa"/>
            <w:shd w:val="clear" w:color="auto" w:fill="auto"/>
            <w:noWrap/>
            <w:vAlign w:val="center"/>
            <w:hideMark/>
          </w:tcPr>
          <w:p w14:paraId="12240962" w14:textId="77777777"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Rancona</w:t>
            </w:r>
          </w:p>
        </w:tc>
        <w:tc>
          <w:tcPr>
            <w:tcW w:w="5158" w:type="dxa"/>
            <w:vAlign w:val="center"/>
          </w:tcPr>
          <w:p w14:paraId="1D28A8B8" w14:textId="31FB07DF" w:rsidR="00ED21A8" w:rsidRPr="003E0876" w:rsidRDefault="009C7095" w:rsidP="003E0876">
            <w:pPr>
              <w:rPr>
                <w:rFonts w:ascii="Calibri" w:eastAsia="Times New Roman" w:hAnsi="Calibri" w:cs="Calibri"/>
                <w:color w:val="000000"/>
              </w:rPr>
            </w:pPr>
            <w:r>
              <w:rPr>
                <w:rFonts w:ascii="Calibri" w:eastAsia="Times New Roman" w:hAnsi="Calibri" w:cs="Calibri"/>
                <w:color w:val="000000"/>
              </w:rPr>
              <w:t>Ipconazole (fungicide)</w:t>
            </w:r>
          </w:p>
        </w:tc>
        <w:tc>
          <w:tcPr>
            <w:tcW w:w="1070" w:type="dxa"/>
            <w:shd w:val="clear" w:color="auto" w:fill="auto"/>
            <w:noWrap/>
            <w:vAlign w:val="center"/>
            <w:hideMark/>
          </w:tcPr>
          <w:p w14:paraId="0B88BEC9" w14:textId="4BE14BE0"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Harpoon</w:t>
            </w:r>
          </w:p>
        </w:tc>
      </w:tr>
      <w:tr w:rsidR="00ED21A8" w:rsidRPr="003E0876" w14:paraId="68EF702B" w14:textId="77777777" w:rsidTr="009C7095">
        <w:trPr>
          <w:trHeight w:val="290"/>
          <w:jc w:val="center"/>
        </w:trPr>
        <w:tc>
          <w:tcPr>
            <w:tcW w:w="1249" w:type="dxa"/>
            <w:shd w:val="clear" w:color="auto" w:fill="auto"/>
            <w:noWrap/>
            <w:vAlign w:val="center"/>
            <w:hideMark/>
          </w:tcPr>
          <w:p w14:paraId="187A9D73" w14:textId="77777777" w:rsidR="00ED21A8" w:rsidRPr="003E0876" w:rsidRDefault="00ED21A8" w:rsidP="003E0876">
            <w:pPr>
              <w:jc w:val="center"/>
              <w:rPr>
                <w:rFonts w:ascii="Calibri" w:eastAsia="Times New Roman" w:hAnsi="Calibri" w:cs="Calibri"/>
                <w:color w:val="000000"/>
              </w:rPr>
            </w:pPr>
            <w:r w:rsidRPr="003E0876">
              <w:rPr>
                <w:rFonts w:ascii="Calibri" w:eastAsia="Times New Roman" w:hAnsi="Calibri" w:cs="Calibri"/>
                <w:color w:val="000000"/>
              </w:rPr>
              <w:t>5</w:t>
            </w:r>
          </w:p>
        </w:tc>
        <w:tc>
          <w:tcPr>
            <w:tcW w:w="1986" w:type="dxa"/>
            <w:shd w:val="clear" w:color="auto" w:fill="auto"/>
            <w:noWrap/>
            <w:vAlign w:val="center"/>
            <w:hideMark/>
          </w:tcPr>
          <w:p w14:paraId="32F7116E" w14:textId="77777777"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Stamina F4 Cereals</w:t>
            </w:r>
          </w:p>
        </w:tc>
        <w:tc>
          <w:tcPr>
            <w:tcW w:w="5158" w:type="dxa"/>
            <w:vAlign w:val="center"/>
          </w:tcPr>
          <w:p w14:paraId="371D6E6A" w14:textId="44F87B73" w:rsidR="00ED21A8" w:rsidRPr="003E0876" w:rsidRDefault="009C7095" w:rsidP="003E0876">
            <w:pPr>
              <w:rPr>
                <w:rFonts w:ascii="Calibri" w:eastAsia="Times New Roman" w:hAnsi="Calibri" w:cs="Calibri"/>
                <w:color w:val="000000"/>
              </w:rPr>
            </w:pPr>
            <w:r>
              <w:rPr>
                <w:rFonts w:ascii="Calibri" w:eastAsia="Times New Roman" w:hAnsi="Calibri" w:cs="Calibri"/>
                <w:color w:val="000000"/>
              </w:rPr>
              <w:t>Fluxapyroxad (fungicide), pyraclostrobin (fungicide), triticonazole (fungicide), metalaxyl (oomycide)</w:t>
            </w:r>
          </w:p>
        </w:tc>
        <w:tc>
          <w:tcPr>
            <w:tcW w:w="1070" w:type="dxa"/>
            <w:shd w:val="clear" w:color="auto" w:fill="auto"/>
            <w:noWrap/>
            <w:vAlign w:val="center"/>
            <w:hideMark/>
          </w:tcPr>
          <w:p w14:paraId="4B647BD5" w14:textId="3BDD62A0" w:rsidR="00ED21A8" w:rsidRPr="003E0876" w:rsidRDefault="00ED21A8" w:rsidP="003E0876">
            <w:pPr>
              <w:rPr>
                <w:rFonts w:ascii="Calibri" w:eastAsia="Times New Roman" w:hAnsi="Calibri" w:cs="Calibri"/>
                <w:color w:val="000000"/>
              </w:rPr>
            </w:pPr>
            <w:r w:rsidRPr="003E0876">
              <w:rPr>
                <w:rFonts w:ascii="Calibri" w:eastAsia="Times New Roman" w:hAnsi="Calibri" w:cs="Calibri"/>
                <w:color w:val="000000"/>
              </w:rPr>
              <w:t>Harpoon</w:t>
            </w:r>
          </w:p>
        </w:tc>
      </w:tr>
      <w:tr w:rsidR="009C7095" w:rsidRPr="003E0876" w14:paraId="20A74A7E" w14:textId="77777777" w:rsidTr="009C7095">
        <w:trPr>
          <w:trHeight w:val="290"/>
          <w:jc w:val="center"/>
        </w:trPr>
        <w:tc>
          <w:tcPr>
            <w:tcW w:w="1249" w:type="dxa"/>
            <w:shd w:val="clear" w:color="auto" w:fill="auto"/>
            <w:noWrap/>
            <w:vAlign w:val="center"/>
            <w:hideMark/>
          </w:tcPr>
          <w:p w14:paraId="44AF2100" w14:textId="77777777" w:rsidR="009C7095" w:rsidRPr="003E0876" w:rsidRDefault="009C7095" w:rsidP="009C7095">
            <w:pPr>
              <w:jc w:val="center"/>
              <w:rPr>
                <w:rFonts w:ascii="Calibri" w:eastAsia="Times New Roman" w:hAnsi="Calibri" w:cs="Calibri"/>
                <w:color w:val="000000"/>
              </w:rPr>
            </w:pPr>
            <w:r w:rsidRPr="003E0876">
              <w:rPr>
                <w:rFonts w:ascii="Calibri" w:eastAsia="Times New Roman" w:hAnsi="Calibri" w:cs="Calibri"/>
                <w:color w:val="000000"/>
              </w:rPr>
              <w:t>6</w:t>
            </w:r>
          </w:p>
        </w:tc>
        <w:tc>
          <w:tcPr>
            <w:tcW w:w="1986" w:type="dxa"/>
            <w:shd w:val="clear" w:color="auto" w:fill="auto"/>
            <w:noWrap/>
            <w:vAlign w:val="center"/>
            <w:hideMark/>
          </w:tcPr>
          <w:p w14:paraId="0D91CEC0" w14:textId="77777777"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Control</w:t>
            </w:r>
          </w:p>
        </w:tc>
        <w:tc>
          <w:tcPr>
            <w:tcW w:w="5158" w:type="dxa"/>
            <w:vAlign w:val="center"/>
          </w:tcPr>
          <w:p w14:paraId="4A0EBA27" w14:textId="74D14B90" w:rsidR="009C7095" w:rsidRPr="003E0876" w:rsidRDefault="009C7095" w:rsidP="009C7095">
            <w:pPr>
              <w:rPr>
                <w:rFonts w:ascii="Calibri" w:eastAsia="Times New Roman" w:hAnsi="Calibri" w:cs="Calibri"/>
                <w:color w:val="000000"/>
              </w:rPr>
            </w:pPr>
            <w:r>
              <w:rPr>
                <w:rFonts w:ascii="Calibri" w:eastAsia="Times New Roman" w:hAnsi="Calibri" w:cs="Calibri"/>
                <w:color w:val="000000"/>
              </w:rPr>
              <w:t>N/A</w:t>
            </w:r>
          </w:p>
        </w:tc>
        <w:tc>
          <w:tcPr>
            <w:tcW w:w="1070" w:type="dxa"/>
            <w:shd w:val="clear" w:color="auto" w:fill="auto"/>
            <w:noWrap/>
            <w:vAlign w:val="center"/>
            <w:hideMark/>
          </w:tcPr>
          <w:p w14:paraId="2DB555BF" w14:textId="7F21AD9F"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Kaskaksia</w:t>
            </w:r>
          </w:p>
        </w:tc>
      </w:tr>
      <w:tr w:rsidR="009C7095" w:rsidRPr="003E0876" w14:paraId="0291A290" w14:textId="77777777" w:rsidTr="009C7095">
        <w:trPr>
          <w:trHeight w:val="290"/>
          <w:jc w:val="center"/>
        </w:trPr>
        <w:tc>
          <w:tcPr>
            <w:tcW w:w="1249" w:type="dxa"/>
            <w:shd w:val="clear" w:color="auto" w:fill="auto"/>
            <w:noWrap/>
            <w:vAlign w:val="center"/>
            <w:hideMark/>
          </w:tcPr>
          <w:p w14:paraId="4CE18FE6" w14:textId="77777777" w:rsidR="009C7095" w:rsidRPr="003E0876" w:rsidRDefault="009C7095" w:rsidP="009C7095">
            <w:pPr>
              <w:jc w:val="center"/>
              <w:rPr>
                <w:rFonts w:ascii="Calibri" w:eastAsia="Times New Roman" w:hAnsi="Calibri" w:cs="Calibri"/>
                <w:color w:val="000000"/>
              </w:rPr>
            </w:pPr>
            <w:r w:rsidRPr="003E0876">
              <w:rPr>
                <w:rFonts w:ascii="Calibri" w:eastAsia="Times New Roman" w:hAnsi="Calibri" w:cs="Calibri"/>
                <w:color w:val="000000"/>
              </w:rPr>
              <w:t>7</w:t>
            </w:r>
          </w:p>
        </w:tc>
        <w:tc>
          <w:tcPr>
            <w:tcW w:w="1986" w:type="dxa"/>
            <w:shd w:val="clear" w:color="auto" w:fill="auto"/>
            <w:noWrap/>
            <w:vAlign w:val="center"/>
            <w:hideMark/>
          </w:tcPr>
          <w:p w14:paraId="045A5961" w14:textId="77777777"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Raxil Pro Shield</w:t>
            </w:r>
          </w:p>
        </w:tc>
        <w:tc>
          <w:tcPr>
            <w:tcW w:w="5158" w:type="dxa"/>
            <w:vAlign w:val="center"/>
          </w:tcPr>
          <w:p w14:paraId="00C16270" w14:textId="1C4CC6A1" w:rsidR="009C7095" w:rsidRPr="003E0876" w:rsidRDefault="009C7095" w:rsidP="009C7095">
            <w:pPr>
              <w:rPr>
                <w:rFonts w:ascii="Calibri" w:eastAsia="Times New Roman" w:hAnsi="Calibri" w:cs="Calibri"/>
                <w:color w:val="000000"/>
              </w:rPr>
            </w:pPr>
            <w:r>
              <w:rPr>
                <w:rFonts w:ascii="Calibri" w:eastAsia="Times New Roman" w:hAnsi="Calibri" w:cs="Calibri"/>
                <w:color w:val="000000"/>
              </w:rPr>
              <w:t>Imidacloprid (insecticide), metalaxyl (oomycide), tebuconazole (fungicide), prothioconazole (fungicide)</w:t>
            </w:r>
          </w:p>
        </w:tc>
        <w:tc>
          <w:tcPr>
            <w:tcW w:w="1070" w:type="dxa"/>
            <w:shd w:val="clear" w:color="auto" w:fill="auto"/>
            <w:noWrap/>
            <w:vAlign w:val="center"/>
            <w:hideMark/>
          </w:tcPr>
          <w:p w14:paraId="19238428" w14:textId="32083AB8"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Kaskaksia</w:t>
            </w:r>
          </w:p>
        </w:tc>
      </w:tr>
      <w:tr w:rsidR="009C7095" w:rsidRPr="003E0876" w14:paraId="16D369BB" w14:textId="77777777" w:rsidTr="009C7095">
        <w:trPr>
          <w:trHeight w:val="290"/>
          <w:jc w:val="center"/>
        </w:trPr>
        <w:tc>
          <w:tcPr>
            <w:tcW w:w="1249" w:type="dxa"/>
            <w:shd w:val="clear" w:color="auto" w:fill="auto"/>
            <w:noWrap/>
            <w:vAlign w:val="center"/>
            <w:hideMark/>
          </w:tcPr>
          <w:p w14:paraId="28163259" w14:textId="77777777" w:rsidR="009C7095" w:rsidRPr="003E0876" w:rsidRDefault="009C7095" w:rsidP="009C7095">
            <w:pPr>
              <w:jc w:val="center"/>
              <w:rPr>
                <w:rFonts w:ascii="Calibri" w:eastAsia="Times New Roman" w:hAnsi="Calibri" w:cs="Calibri"/>
                <w:color w:val="000000"/>
              </w:rPr>
            </w:pPr>
            <w:r w:rsidRPr="003E0876">
              <w:rPr>
                <w:rFonts w:ascii="Calibri" w:eastAsia="Times New Roman" w:hAnsi="Calibri" w:cs="Calibri"/>
                <w:color w:val="000000"/>
              </w:rPr>
              <w:t>8</w:t>
            </w:r>
          </w:p>
        </w:tc>
        <w:tc>
          <w:tcPr>
            <w:tcW w:w="1986" w:type="dxa"/>
            <w:shd w:val="clear" w:color="auto" w:fill="auto"/>
            <w:noWrap/>
            <w:vAlign w:val="center"/>
            <w:hideMark/>
          </w:tcPr>
          <w:p w14:paraId="76965779" w14:textId="77777777"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Cruiser Maxx Vibrance cereals</w:t>
            </w:r>
          </w:p>
        </w:tc>
        <w:tc>
          <w:tcPr>
            <w:tcW w:w="5158" w:type="dxa"/>
            <w:vAlign w:val="center"/>
          </w:tcPr>
          <w:p w14:paraId="5227467F" w14:textId="486CD6F2" w:rsidR="009C7095" w:rsidRPr="003E0876" w:rsidRDefault="009C7095" w:rsidP="009C7095">
            <w:pPr>
              <w:rPr>
                <w:rFonts w:ascii="Calibri" w:eastAsia="Times New Roman" w:hAnsi="Calibri" w:cs="Calibri"/>
                <w:color w:val="000000"/>
              </w:rPr>
            </w:pPr>
            <w:r>
              <w:rPr>
                <w:rFonts w:ascii="Calibri" w:eastAsia="Times New Roman" w:hAnsi="Calibri" w:cs="Calibri"/>
                <w:color w:val="000000"/>
              </w:rPr>
              <w:t>Thiamethoxam (insecticide), sedaxane (fungicide), difenoconazole (fungicide), mefenoxam (oomycide)</w:t>
            </w:r>
          </w:p>
        </w:tc>
        <w:tc>
          <w:tcPr>
            <w:tcW w:w="1070" w:type="dxa"/>
            <w:shd w:val="clear" w:color="auto" w:fill="auto"/>
            <w:noWrap/>
            <w:vAlign w:val="center"/>
            <w:hideMark/>
          </w:tcPr>
          <w:p w14:paraId="00A6B752" w14:textId="15EA2201"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Kaskaksia</w:t>
            </w:r>
          </w:p>
        </w:tc>
      </w:tr>
      <w:tr w:rsidR="009C7095" w:rsidRPr="003E0876" w14:paraId="7C3392C7" w14:textId="77777777" w:rsidTr="009C7095">
        <w:trPr>
          <w:trHeight w:val="290"/>
          <w:jc w:val="center"/>
        </w:trPr>
        <w:tc>
          <w:tcPr>
            <w:tcW w:w="1249" w:type="dxa"/>
            <w:shd w:val="clear" w:color="auto" w:fill="auto"/>
            <w:noWrap/>
            <w:vAlign w:val="center"/>
            <w:hideMark/>
          </w:tcPr>
          <w:p w14:paraId="478BF377" w14:textId="77777777" w:rsidR="009C7095" w:rsidRPr="003E0876" w:rsidRDefault="009C7095" w:rsidP="009C7095">
            <w:pPr>
              <w:jc w:val="center"/>
              <w:rPr>
                <w:rFonts w:ascii="Calibri" w:eastAsia="Times New Roman" w:hAnsi="Calibri" w:cs="Calibri"/>
                <w:color w:val="000000"/>
              </w:rPr>
            </w:pPr>
            <w:r w:rsidRPr="003E0876">
              <w:rPr>
                <w:rFonts w:ascii="Calibri" w:eastAsia="Times New Roman" w:hAnsi="Calibri" w:cs="Calibri"/>
                <w:color w:val="000000"/>
              </w:rPr>
              <w:t>9</w:t>
            </w:r>
          </w:p>
        </w:tc>
        <w:tc>
          <w:tcPr>
            <w:tcW w:w="1986" w:type="dxa"/>
            <w:shd w:val="clear" w:color="auto" w:fill="auto"/>
            <w:noWrap/>
            <w:vAlign w:val="center"/>
            <w:hideMark/>
          </w:tcPr>
          <w:p w14:paraId="5F07FAFA" w14:textId="77777777"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Rancona</w:t>
            </w:r>
          </w:p>
        </w:tc>
        <w:tc>
          <w:tcPr>
            <w:tcW w:w="5158" w:type="dxa"/>
            <w:vAlign w:val="center"/>
          </w:tcPr>
          <w:p w14:paraId="6C8136A4" w14:textId="127ECE32" w:rsidR="009C7095" w:rsidRPr="003E0876" w:rsidRDefault="009C7095" w:rsidP="009C7095">
            <w:pPr>
              <w:rPr>
                <w:rFonts w:ascii="Calibri" w:eastAsia="Times New Roman" w:hAnsi="Calibri" w:cs="Calibri"/>
                <w:color w:val="000000"/>
              </w:rPr>
            </w:pPr>
            <w:r>
              <w:rPr>
                <w:rFonts w:ascii="Calibri" w:eastAsia="Times New Roman" w:hAnsi="Calibri" w:cs="Calibri"/>
                <w:color w:val="000000"/>
              </w:rPr>
              <w:t>Ipconazole (fungicide)</w:t>
            </w:r>
          </w:p>
        </w:tc>
        <w:tc>
          <w:tcPr>
            <w:tcW w:w="1070" w:type="dxa"/>
            <w:shd w:val="clear" w:color="auto" w:fill="auto"/>
            <w:noWrap/>
            <w:vAlign w:val="center"/>
            <w:hideMark/>
          </w:tcPr>
          <w:p w14:paraId="503429C7" w14:textId="47C85C14"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Kaskaksia</w:t>
            </w:r>
          </w:p>
        </w:tc>
      </w:tr>
      <w:tr w:rsidR="009C7095" w:rsidRPr="003E0876" w14:paraId="3CE4FB93" w14:textId="77777777" w:rsidTr="009C7095">
        <w:trPr>
          <w:trHeight w:val="290"/>
          <w:jc w:val="center"/>
        </w:trPr>
        <w:tc>
          <w:tcPr>
            <w:tcW w:w="1249" w:type="dxa"/>
            <w:shd w:val="clear" w:color="auto" w:fill="auto"/>
            <w:noWrap/>
            <w:vAlign w:val="center"/>
            <w:hideMark/>
          </w:tcPr>
          <w:p w14:paraId="6192D42D" w14:textId="77777777" w:rsidR="009C7095" w:rsidRPr="003E0876" w:rsidRDefault="009C7095" w:rsidP="009C7095">
            <w:pPr>
              <w:jc w:val="center"/>
              <w:rPr>
                <w:rFonts w:ascii="Calibri" w:eastAsia="Times New Roman" w:hAnsi="Calibri" w:cs="Calibri"/>
                <w:color w:val="000000"/>
              </w:rPr>
            </w:pPr>
            <w:r w:rsidRPr="003E0876">
              <w:rPr>
                <w:rFonts w:ascii="Calibri" w:eastAsia="Times New Roman" w:hAnsi="Calibri" w:cs="Calibri"/>
                <w:color w:val="000000"/>
              </w:rPr>
              <w:t>10</w:t>
            </w:r>
          </w:p>
        </w:tc>
        <w:tc>
          <w:tcPr>
            <w:tcW w:w="1986" w:type="dxa"/>
            <w:shd w:val="clear" w:color="auto" w:fill="auto"/>
            <w:noWrap/>
            <w:vAlign w:val="center"/>
            <w:hideMark/>
          </w:tcPr>
          <w:p w14:paraId="58E2B42A" w14:textId="77777777"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Stamina F4 Cereals</w:t>
            </w:r>
          </w:p>
        </w:tc>
        <w:tc>
          <w:tcPr>
            <w:tcW w:w="5158" w:type="dxa"/>
            <w:vAlign w:val="center"/>
          </w:tcPr>
          <w:p w14:paraId="6A67E93F" w14:textId="25B90432" w:rsidR="009C7095" w:rsidRPr="003E0876" w:rsidRDefault="009C7095" w:rsidP="009C7095">
            <w:pPr>
              <w:rPr>
                <w:rFonts w:ascii="Calibri" w:eastAsia="Times New Roman" w:hAnsi="Calibri" w:cs="Calibri"/>
                <w:color w:val="000000"/>
              </w:rPr>
            </w:pPr>
            <w:r>
              <w:rPr>
                <w:rFonts w:ascii="Calibri" w:eastAsia="Times New Roman" w:hAnsi="Calibri" w:cs="Calibri"/>
                <w:color w:val="000000"/>
              </w:rPr>
              <w:t>Fluxapyroxad (fungicide), pyraclostrobin (fungicide), triticonazole (fungicide), metalaxyl (oomycide)</w:t>
            </w:r>
          </w:p>
        </w:tc>
        <w:tc>
          <w:tcPr>
            <w:tcW w:w="1070" w:type="dxa"/>
            <w:shd w:val="clear" w:color="auto" w:fill="auto"/>
            <w:noWrap/>
            <w:vAlign w:val="center"/>
            <w:hideMark/>
          </w:tcPr>
          <w:p w14:paraId="0C2685BB" w14:textId="341A2771" w:rsidR="009C7095" w:rsidRPr="003E0876" w:rsidRDefault="009C7095" w:rsidP="009C7095">
            <w:pPr>
              <w:rPr>
                <w:rFonts w:ascii="Calibri" w:eastAsia="Times New Roman" w:hAnsi="Calibri" w:cs="Calibri"/>
                <w:color w:val="000000"/>
              </w:rPr>
            </w:pPr>
            <w:r w:rsidRPr="003E0876">
              <w:rPr>
                <w:rFonts w:ascii="Calibri" w:eastAsia="Times New Roman" w:hAnsi="Calibri" w:cs="Calibri"/>
                <w:color w:val="000000"/>
              </w:rPr>
              <w:t>Kaskaksia</w:t>
            </w:r>
          </w:p>
        </w:tc>
      </w:tr>
    </w:tbl>
    <w:p w14:paraId="6DA158C5" w14:textId="74EAD959" w:rsidR="001459F4" w:rsidRDefault="001459F4" w:rsidP="001459F4">
      <w:pPr>
        <w:rPr>
          <w:rFonts w:cstheme="minorHAnsi"/>
          <w:b/>
        </w:rPr>
      </w:pPr>
    </w:p>
    <w:p w14:paraId="32FAC669" w14:textId="7ED3AE62" w:rsidR="005430D9" w:rsidRPr="00B13ED8" w:rsidRDefault="005430D9" w:rsidP="001459F4">
      <w:pPr>
        <w:rPr>
          <w:rFonts w:cstheme="minorHAnsi"/>
        </w:rPr>
      </w:pPr>
      <w:r>
        <w:rPr>
          <w:rFonts w:cstheme="minorHAnsi"/>
        </w:rPr>
        <w:t xml:space="preserve">The seed treatment trial is very timely given the increased issues with stinking smut/bunt that has occurred in Michigan over the last </w:t>
      </w:r>
      <w:r w:rsidR="00B13ED8">
        <w:rPr>
          <w:rFonts w:cstheme="minorHAnsi"/>
        </w:rPr>
        <w:t xml:space="preserve">few </w:t>
      </w:r>
      <w:r>
        <w:rPr>
          <w:rFonts w:cstheme="minorHAnsi"/>
        </w:rPr>
        <w:t>seasons. Although multiple fungicide products are often used to treat wheat seed, from the limited literature it appears as though difenoconazole is one of the more effective products at reducing smut/bunt issues. An important element is also to identify the specific species that are causing issues. We are currently collaborating with Dr. Jan Byrne in the Diagnostic lab and Dr. Kelsey Anderson-</w:t>
      </w:r>
      <w:r w:rsidR="00CF6439">
        <w:rPr>
          <w:rFonts w:cstheme="minorHAnsi"/>
        </w:rPr>
        <w:t>Onofre</w:t>
      </w:r>
      <w:r>
        <w:rPr>
          <w:rFonts w:cstheme="minorHAnsi"/>
        </w:rPr>
        <w:t xml:space="preserve"> of Kansas State to identify the causal agents in Michigan.</w:t>
      </w:r>
    </w:p>
    <w:p w14:paraId="176A305C" w14:textId="77777777" w:rsidR="005430D9" w:rsidRDefault="005430D9" w:rsidP="001459F4">
      <w:pPr>
        <w:rPr>
          <w:rFonts w:cstheme="minorHAnsi"/>
          <w:b/>
        </w:rPr>
      </w:pPr>
    </w:p>
    <w:p w14:paraId="39F05EB9" w14:textId="77777777" w:rsidR="00183C7E" w:rsidRDefault="00183C7E" w:rsidP="001459F4">
      <w:pPr>
        <w:rPr>
          <w:rFonts w:cstheme="minorHAnsi"/>
          <w:b/>
        </w:rPr>
      </w:pPr>
    </w:p>
    <w:p w14:paraId="3D66F681" w14:textId="61B165F5" w:rsidR="00564770" w:rsidRPr="003E0876" w:rsidRDefault="001459F4" w:rsidP="001459F4">
      <w:pPr>
        <w:rPr>
          <w:rFonts w:cstheme="minorHAnsi"/>
          <w:b/>
        </w:rPr>
      </w:pPr>
      <w:r>
        <w:rPr>
          <w:rFonts w:cstheme="minorHAnsi"/>
          <w:b/>
        </w:rPr>
        <w:t>Fungicide efficacy</w:t>
      </w:r>
    </w:p>
    <w:p w14:paraId="3BF6DEB2" w14:textId="3A616AC5" w:rsidR="00666451" w:rsidRDefault="001459F4" w:rsidP="001459F4">
      <w:pPr>
        <w:rPr>
          <w:rFonts w:cstheme="minorHAnsi"/>
        </w:rPr>
      </w:pPr>
      <w:r>
        <w:rPr>
          <w:rFonts w:cstheme="minorHAnsi"/>
        </w:rPr>
        <w:t>Both foliar fungicide efficacy and head scab fungicide efficacy trials w</w:t>
      </w:r>
      <w:r w:rsidR="0001294E">
        <w:rPr>
          <w:rFonts w:cstheme="minorHAnsi"/>
        </w:rPr>
        <w:t xml:space="preserve">ere </w:t>
      </w:r>
      <w:r>
        <w:rPr>
          <w:rFonts w:cstheme="minorHAnsi"/>
        </w:rPr>
        <w:t xml:space="preserve">conducted. Including private trials for companies to examine products prior to release to market, and trials to examine product claims. Two winter wheat varieties </w:t>
      </w:r>
      <w:r w:rsidR="00CF6439">
        <w:rPr>
          <w:rFonts w:cstheme="minorHAnsi"/>
        </w:rPr>
        <w:t xml:space="preserve">are </w:t>
      </w:r>
      <w:r>
        <w:rPr>
          <w:rFonts w:cstheme="minorHAnsi"/>
        </w:rPr>
        <w:t xml:space="preserve">used to demonstrate the importance of variety selection for disease management. ‘Ambassador’ </w:t>
      </w:r>
      <w:r w:rsidR="00CF6439">
        <w:rPr>
          <w:rFonts w:cstheme="minorHAnsi"/>
        </w:rPr>
        <w:t xml:space="preserve">is </w:t>
      </w:r>
      <w:r>
        <w:rPr>
          <w:rFonts w:cstheme="minorHAnsi"/>
        </w:rPr>
        <w:t>used as a foliar disease and head scab susceptible variety, while ‘</w:t>
      </w:r>
      <w:r w:rsidR="0001294E">
        <w:rPr>
          <w:rFonts w:cstheme="minorHAnsi"/>
        </w:rPr>
        <w:t>Wharf</w:t>
      </w:r>
      <w:r>
        <w:rPr>
          <w:rFonts w:cstheme="minorHAnsi"/>
        </w:rPr>
        <w:t xml:space="preserve">’ </w:t>
      </w:r>
      <w:r w:rsidR="0001294E">
        <w:rPr>
          <w:rFonts w:cstheme="minorHAnsi"/>
        </w:rPr>
        <w:t xml:space="preserve">was </w:t>
      </w:r>
      <w:r>
        <w:rPr>
          <w:rFonts w:cstheme="minorHAnsi"/>
        </w:rPr>
        <w:t xml:space="preserve">used as a foliar and head scab resistant variety. </w:t>
      </w:r>
      <w:r w:rsidR="00CF6439">
        <w:rPr>
          <w:rFonts w:cstheme="minorHAnsi"/>
        </w:rPr>
        <w:t>We had low levels of both foliar and head scab disease in 2022. However, differences between treatments were still detected (Figure 1 and Figure 2).</w:t>
      </w:r>
    </w:p>
    <w:p w14:paraId="220857E4" w14:textId="77777777" w:rsidR="00666451" w:rsidRDefault="00666451" w:rsidP="001459F4">
      <w:pPr>
        <w:rPr>
          <w:rFonts w:cstheme="minorHAnsi"/>
        </w:rPr>
      </w:pPr>
    </w:p>
    <w:p w14:paraId="332CEDFD" w14:textId="77777777" w:rsidR="00CF6439" w:rsidRDefault="00CF6439" w:rsidP="00CF6439">
      <w:pPr>
        <w:rPr>
          <w:rFonts w:cstheme="minorHAnsi"/>
        </w:rPr>
      </w:pPr>
      <w:r>
        <w:rPr>
          <w:noProof/>
        </w:rPr>
        <w:lastRenderedPageBreak/>
        <w:drawing>
          <wp:inline distT="0" distB="0" distL="0" distR="0" wp14:anchorId="269BB2DE" wp14:editId="3E29A366">
            <wp:extent cx="4892040" cy="3058160"/>
            <wp:effectExtent l="0" t="0" r="3810" b="8890"/>
            <wp:docPr id="1571644655" name="Chart 1">
              <a:extLst xmlns:a="http://schemas.openxmlformats.org/drawingml/2006/main">
                <a:ext uri="{FF2B5EF4-FFF2-40B4-BE49-F238E27FC236}">
                  <a16:creationId xmlns:a16="http://schemas.microsoft.com/office/drawing/2014/main" id="{5CF2E49C-E649-F706-19C5-C32BC9356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B2C1A0" w14:textId="1A0E9354" w:rsidR="00CF6439" w:rsidRDefault="00CF6439" w:rsidP="00CF6439">
      <w:pPr>
        <w:rPr>
          <w:rFonts w:cstheme="minorHAnsi"/>
        </w:rPr>
      </w:pPr>
      <w:r>
        <w:rPr>
          <w:rFonts w:cstheme="minorHAnsi"/>
        </w:rPr>
        <w:t>Figure 1: Data from foliar MSU foliar fungicide trial, examining performance of fungicides on leaf diseases.</w:t>
      </w:r>
    </w:p>
    <w:p w14:paraId="2DBAF23D" w14:textId="77777777" w:rsidR="00CF6439" w:rsidRDefault="00CF6439" w:rsidP="00CF6439">
      <w:pPr>
        <w:rPr>
          <w:rFonts w:cstheme="minorHAnsi"/>
        </w:rPr>
      </w:pPr>
    </w:p>
    <w:p w14:paraId="77EBE333" w14:textId="2FBEA108" w:rsidR="00CF6439" w:rsidRDefault="00BA6C12" w:rsidP="00CF6439">
      <w:pPr>
        <w:rPr>
          <w:rFonts w:cstheme="minorHAnsi"/>
        </w:rPr>
      </w:pPr>
      <w:r>
        <w:rPr>
          <w:noProof/>
        </w:rPr>
        <w:drawing>
          <wp:inline distT="0" distB="0" distL="0" distR="0" wp14:anchorId="3F347B36" wp14:editId="1C13B641">
            <wp:extent cx="5943600" cy="3343275"/>
            <wp:effectExtent l="0" t="0" r="0" b="9525"/>
            <wp:docPr id="9473127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1271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p>
    <w:p w14:paraId="5957029E" w14:textId="77777777" w:rsidR="00BA6C12" w:rsidRDefault="00BA6C12" w:rsidP="001459F4">
      <w:pPr>
        <w:rPr>
          <w:rFonts w:cstheme="minorHAnsi"/>
        </w:rPr>
      </w:pPr>
      <w:r>
        <w:rPr>
          <w:rFonts w:cstheme="minorHAnsi"/>
        </w:rPr>
        <w:t xml:space="preserve">Figure 2: Results of MSU head scab fungicide trial, examining effect of rates, double applications and newer products for head scab management. </w:t>
      </w:r>
    </w:p>
    <w:p w14:paraId="296AAF42" w14:textId="7DE51B58" w:rsidR="00B13ED8" w:rsidRDefault="00BA6C12" w:rsidP="001459F4">
      <w:pPr>
        <w:rPr>
          <w:rFonts w:cstheme="minorHAnsi"/>
        </w:rPr>
      </w:pPr>
      <w:r>
        <w:rPr>
          <w:rFonts w:cstheme="minorHAnsi"/>
        </w:rPr>
        <w:t xml:space="preserve"> </w:t>
      </w:r>
    </w:p>
    <w:p w14:paraId="295139A5" w14:textId="77777777" w:rsidR="00BA6C12" w:rsidRDefault="00BA6C12" w:rsidP="001459F4">
      <w:pPr>
        <w:rPr>
          <w:rFonts w:cstheme="minorHAnsi"/>
        </w:rPr>
      </w:pPr>
    </w:p>
    <w:p w14:paraId="6D70DA4B" w14:textId="64253E5C" w:rsidR="00A52581" w:rsidRDefault="003E0876" w:rsidP="001459F4">
      <w:pPr>
        <w:rPr>
          <w:rFonts w:cstheme="minorHAnsi"/>
        </w:rPr>
      </w:pPr>
      <w:r>
        <w:rPr>
          <w:rFonts w:cstheme="minorHAnsi"/>
        </w:rPr>
        <w:t xml:space="preserve">Data </w:t>
      </w:r>
      <w:r w:rsidR="001459F4">
        <w:rPr>
          <w:rFonts w:cstheme="minorHAnsi"/>
        </w:rPr>
        <w:t xml:space="preserve">from foliar and head scab fungicide trials </w:t>
      </w:r>
      <w:r>
        <w:rPr>
          <w:rFonts w:cstheme="minorHAnsi"/>
        </w:rPr>
        <w:t>w</w:t>
      </w:r>
      <w:r w:rsidR="0001294E">
        <w:rPr>
          <w:rFonts w:cstheme="minorHAnsi"/>
        </w:rPr>
        <w:t xml:space="preserve">ere </w:t>
      </w:r>
      <w:r>
        <w:rPr>
          <w:rFonts w:cstheme="minorHAnsi"/>
        </w:rPr>
        <w:t>used to update our multistate wheat fungicide efficacy chart:</w:t>
      </w:r>
    </w:p>
    <w:p w14:paraId="2BBCD6ED" w14:textId="50844D29" w:rsidR="003E0876" w:rsidRDefault="00000000" w:rsidP="001459F4">
      <w:pPr>
        <w:rPr>
          <w:rFonts w:cstheme="minorHAnsi"/>
        </w:rPr>
      </w:pPr>
      <w:hyperlink r:id="rId11" w:history="1">
        <w:r w:rsidR="003E0876" w:rsidRPr="00F5702B">
          <w:rPr>
            <w:rStyle w:val="Hyperlink"/>
            <w:rFonts w:cstheme="minorHAnsi"/>
          </w:rPr>
          <w:t>https://cropprotectionnetwork.org/resources/publications/fungicide-efficacy-for-control-of-wheat-diseases</w:t>
        </w:r>
      </w:hyperlink>
    </w:p>
    <w:p w14:paraId="404AF716" w14:textId="77777777" w:rsidR="003E0876" w:rsidRDefault="003E0876" w:rsidP="001459F4">
      <w:pPr>
        <w:rPr>
          <w:rFonts w:cstheme="minorHAnsi"/>
        </w:rPr>
      </w:pPr>
    </w:p>
    <w:p w14:paraId="5ACDA7B1" w14:textId="6181BFEB" w:rsidR="003E0876" w:rsidRPr="001459F4" w:rsidRDefault="001459F4" w:rsidP="001459F4">
      <w:pPr>
        <w:rPr>
          <w:rFonts w:cstheme="minorHAnsi"/>
          <w:b/>
        </w:rPr>
      </w:pPr>
      <w:r w:rsidRPr="001459F4">
        <w:rPr>
          <w:rFonts w:cstheme="minorHAnsi"/>
          <w:b/>
        </w:rPr>
        <w:t>High management wheat</w:t>
      </w:r>
      <w:r w:rsidR="00666451">
        <w:rPr>
          <w:rFonts w:cstheme="minorHAnsi"/>
          <w:b/>
        </w:rPr>
        <w:t xml:space="preserve"> and multiple fungicide applications</w:t>
      </w:r>
    </w:p>
    <w:p w14:paraId="62A70838" w14:textId="7142A540" w:rsidR="00183C7E" w:rsidRDefault="00666451" w:rsidP="001459F4">
      <w:pPr>
        <w:rPr>
          <w:rFonts w:cstheme="minorHAnsi"/>
        </w:rPr>
      </w:pPr>
      <w:r>
        <w:rPr>
          <w:rFonts w:cstheme="minorHAnsi"/>
        </w:rPr>
        <w:t xml:space="preserve">Over the last couple of years, Dr. Kurt Steinke and I have been working together on management of wheat to improve productivity and profitability. In a study conducted by Dr. Mikaela Breunig using data from Dr. Steinke, Martin Nagelkirk and my own program, we were able to look at </w:t>
      </w:r>
      <w:r w:rsidR="00183C7E">
        <w:rPr>
          <w:rFonts w:cstheme="minorHAnsi"/>
        </w:rPr>
        <w:t>1,954</w:t>
      </w:r>
      <w:r>
        <w:rPr>
          <w:rFonts w:cstheme="minorHAnsi"/>
        </w:rPr>
        <w:t xml:space="preserve"> yield data points</w:t>
      </w:r>
      <w:r w:rsidR="00183C7E">
        <w:rPr>
          <w:rFonts w:cstheme="minorHAnsi"/>
        </w:rPr>
        <w:t xml:space="preserve"> from trials to determine the average yield response to fungicide timing. Interestingly, the early season T1 timing on average resulted in a 4 bu/A advantage over not treating, while an application at flag leaf or flowering resulted in approximately 7 bu/A advantage. In combination, a T1 and T3 resulted in a 10.5 bu/A advantage (Table 2). </w:t>
      </w:r>
    </w:p>
    <w:p w14:paraId="68FA793E" w14:textId="77777777" w:rsidR="008364CB" w:rsidRDefault="008364CB" w:rsidP="001459F4">
      <w:pPr>
        <w:rPr>
          <w:rFonts w:cstheme="minorHAnsi"/>
        </w:rPr>
      </w:pPr>
    </w:p>
    <w:p w14:paraId="31A9F46B" w14:textId="1059BD4D" w:rsidR="00666451" w:rsidRDefault="00666451" w:rsidP="001459F4">
      <w:pPr>
        <w:rPr>
          <w:rFonts w:cstheme="minorHAnsi"/>
        </w:rPr>
      </w:pPr>
      <w:r>
        <w:rPr>
          <w:rFonts w:cstheme="minorHAnsi"/>
        </w:rPr>
        <w:t>Table 2: Meta-analysis of yield response to fungicide. T1 (Fks 5-7), T2 (Fks 8-9), T3 (Fks 10.5.1)</w:t>
      </w:r>
    </w:p>
    <w:tbl>
      <w:tblPr>
        <w:tblW w:w="9420" w:type="dxa"/>
        <w:tblCellMar>
          <w:left w:w="0" w:type="dxa"/>
          <w:right w:w="0" w:type="dxa"/>
        </w:tblCellMar>
        <w:tblLook w:val="04A0" w:firstRow="1" w:lastRow="0" w:firstColumn="1" w:lastColumn="0" w:noHBand="0" w:noVBand="1"/>
      </w:tblPr>
      <w:tblGrid>
        <w:gridCol w:w="2220"/>
        <w:gridCol w:w="2220"/>
        <w:gridCol w:w="1700"/>
        <w:gridCol w:w="3280"/>
      </w:tblGrid>
      <w:tr w:rsidR="00666451" w:rsidRPr="00666451" w14:paraId="10B56244" w14:textId="77777777" w:rsidTr="00666451">
        <w:trPr>
          <w:trHeight w:hRule="exact" w:val="360"/>
        </w:trPr>
        <w:tc>
          <w:tcPr>
            <w:tcW w:w="2220" w:type="dxa"/>
            <w:tcBorders>
              <w:top w:val="nil"/>
              <w:left w:val="nil"/>
              <w:bottom w:val="single" w:sz="18" w:space="0" w:color="FFFFFF"/>
              <w:right w:val="nil"/>
            </w:tcBorders>
            <w:shd w:val="clear" w:color="auto" w:fill="484F56"/>
            <w:tcMar>
              <w:top w:w="15" w:type="dxa"/>
              <w:left w:w="108" w:type="dxa"/>
              <w:bottom w:w="0" w:type="dxa"/>
              <w:right w:w="108" w:type="dxa"/>
            </w:tcMar>
            <w:vAlign w:val="center"/>
            <w:hideMark/>
          </w:tcPr>
          <w:p w14:paraId="4C7EC93B" w14:textId="77777777" w:rsidR="00666451" w:rsidRPr="00666451" w:rsidRDefault="00666451" w:rsidP="00666451">
            <w:pPr>
              <w:jc w:val="center"/>
              <w:rPr>
                <w:rFonts w:eastAsia="Times New Roman" w:cstheme="minorHAnsi"/>
              </w:rPr>
            </w:pPr>
            <w:r w:rsidRPr="00666451">
              <w:rPr>
                <w:rFonts w:eastAsia="Times New Roman" w:cstheme="minorHAnsi"/>
                <w:b/>
                <w:bCs/>
                <w:color w:val="FFFFFF" w:themeColor="light1"/>
              </w:rPr>
              <w:t>Timing</w:t>
            </w:r>
          </w:p>
        </w:tc>
        <w:tc>
          <w:tcPr>
            <w:tcW w:w="3920" w:type="dxa"/>
            <w:gridSpan w:val="2"/>
            <w:tcBorders>
              <w:top w:val="nil"/>
              <w:left w:val="nil"/>
              <w:bottom w:val="single" w:sz="18" w:space="0" w:color="FFFFFF"/>
              <w:right w:val="nil"/>
            </w:tcBorders>
            <w:shd w:val="clear" w:color="auto" w:fill="484F56"/>
            <w:tcMar>
              <w:top w:w="15" w:type="dxa"/>
              <w:left w:w="108" w:type="dxa"/>
              <w:bottom w:w="0" w:type="dxa"/>
              <w:right w:w="108" w:type="dxa"/>
            </w:tcMar>
            <w:vAlign w:val="center"/>
            <w:hideMark/>
          </w:tcPr>
          <w:p w14:paraId="36FAC3B0" w14:textId="77777777" w:rsidR="00666451" w:rsidRPr="00666451" w:rsidRDefault="00666451" w:rsidP="00666451">
            <w:pPr>
              <w:jc w:val="center"/>
              <w:rPr>
                <w:rFonts w:eastAsia="Times New Roman" w:cstheme="minorHAnsi"/>
              </w:rPr>
            </w:pPr>
            <w:r w:rsidRPr="00666451">
              <w:rPr>
                <w:rFonts w:eastAsia="Times New Roman" w:cstheme="minorHAnsi"/>
                <w:b/>
                <w:bCs/>
                <w:color w:val="FFFFFF" w:themeColor="light1"/>
              </w:rPr>
              <w:t>Yield response bu/ac (</w:t>
            </w:r>
            <m:oMath>
              <m:sSub>
                <m:sSubPr>
                  <m:ctrlPr>
                    <w:rPr>
                      <w:rFonts w:ascii="Cambria Math" w:eastAsia="Times New Roman" w:hAnsi="Cambria Math" w:cstheme="minorHAnsi"/>
                      <w:b/>
                      <w:bCs/>
                      <w:i/>
                      <w:iCs/>
                      <w:color w:val="FFFFFF" w:themeColor="light1"/>
                    </w:rPr>
                  </m:ctrlPr>
                </m:sSubPr>
                <m:e>
                  <m:acc>
                    <m:accPr>
                      <m:chr m:val="̅"/>
                      <m:ctrlPr>
                        <w:rPr>
                          <w:rFonts w:ascii="Cambria Math" w:eastAsia="Times New Roman" w:hAnsi="Cambria Math" w:cstheme="minorHAnsi"/>
                          <w:b/>
                          <w:bCs/>
                          <w:i/>
                          <w:iCs/>
                          <w:color w:val="FFFFFF" w:themeColor="light1"/>
                        </w:rPr>
                      </m:ctrlPr>
                    </m:accPr>
                    <m:e>
                      <m:r>
                        <m:rPr>
                          <m:sty m:val="bi"/>
                        </m:rPr>
                        <w:rPr>
                          <w:rFonts w:ascii="Cambria Math" w:eastAsia="Times New Roman" w:hAnsi="Cambria Math" w:cstheme="minorHAnsi"/>
                          <w:color w:val="FFFFFF" w:themeColor="light1"/>
                        </w:rPr>
                        <m:t>D</m:t>
                      </m:r>
                    </m:e>
                  </m:acc>
                </m:e>
                <m:sub>
                  <m:r>
                    <m:rPr>
                      <m:sty m:val="bi"/>
                    </m:rPr>
                    <w:rPr>
                      <w:rFonts w:ascii="Cambria Math" w:eastAsia="Times New Roman" w:hAnsi="Cambria Math" w:cstheme="minorHAnsi"/>
                      <w:color w:val="FFFFFF" w:themeColor="light1"/>
                    </w:rPr>
                    <m:t>t</m:t>
                  </m:r>
                </m:sub>
              </m:sSub>
              <m:r>
                <m:rPr>
                  <m:sty m:val="b"/>
                </m:rPr>
                <w:rPr>
                  <w:rFonts w:ascii="Cambria Math" w:eastAsia="Times New Roman" w:hAnsi="Cambria Math" w:cstheme="minorHAnsi"/>
                  <w:color w:val="FFFFFF" w:themeColor="light1"/>
                </w:rPr>
                <m:t>)</m:t>
              </m:r>
            </m:oMath>
          </w:p>
        </w:tc>
        <w:tc>
          <w:tcPr>
            <w:tcW w:w="3280" w:type="dxa"/>
            <w:tcBorders>
              <w:top w:val="nil"/>
              <w:left w:val="nil"/>
              <w:bottom w:val="single" w:sz="18" w:space="0" w:color="FFFFFF"/>
              <w:right w:val="nil"/>
            </w:tcBorders>
            <w:shd w:val="clear" w:color="auto" w:fill="484F56"/>
            <w:tcMar>
              <w:top w:w="15" w:type="dxa"/>
              <w:left w:w="108" w:type="dxa"/>
              <w:bottom w:w="0" w:type="dxa"/>
              <w:right w:w="108" w:type="dxa"/>
            </w:tcMar>
            <w:vAlign w:val="center"/>
            <w:hideMark/>
          </w:tcPr>
          <w:p w14:paraId="4D31F5F4" w14:textId="77777777" w:rsidR="00666451" w:rsidRPr="00666451" w:rsidRDefault="00666451" w:rsidP="00666451">
            <w:pPr>
              <w:jc w:val="center"/>
              <w:rPr>
                <w:rFonts w:eastAsia="Times New Roman" w:cstheme="minorHAnsi"/>
              </w:rPr>
            </w:pPr>
            <w:r w:rsidRPr="00666451">
              <w:rPr>
                <w:rFonts w:eastAsia="Times New Roman" w:cstheme="minorHAnsi"/>
                <w:b/>
                <w:bCs/>
                <w:color w:val="FFFFFF" w:themeColor="light1"/>
              </w:rPr>
              <w:t>Among-study variance</w:t>
            </w:r>
            <m:oMath>
              <m:r>
                <m:rPr>
                  <m:sty m:val="b"/>
                </m:rPr>
                <w:rPr>
                  <w:rFonts w:ascii="Cambria Math" w:eastAsia="Times New Roman" w:hAnsi="Cambria Math" w:cstheme="minorHAnsi"/>
                  <w:color w:val="FFFFFF" w:themeColor="light1"/>
                </w:rPr>
                <m:t>   </m:t>
              </m:r>
              <m:sSup>
                <m:sSupPr>
                  <m:ctrlPr>
                    <w:rPr>
                      <w:rFonts w:ascii="Cambria Math" w:eastAsia="Times New Roman" w:hAnsi="Cambria Math" w:cstheme="minorHAnsi"/>
                      <w:b/>
                      <w:bCs/>
                      <w:i/>
                      <w:iCs/>
                      <w:color w:val="FFFFFF" w:themeColor="light1"/>
                    </w:rPr>
                  </m:ctrlPr>
                </m:sSupPr>
                <m:e>
                  <m:acc>
                    <m:accPr>
                      <m:ctrlPr>
                        <w:rPr>
                          <w:rFonts w:ascii="Cambria Math" w:eastAsia="Times New Roman" w:hAnsi="Cambria Math" w:cstheme="minorHAnsi"/>
                          <w:b/>
                          <w:bCs/>
                          <w:i/>
                          <w:iCs/>
                          <w:color w:val="FFFFFF" w:themeColor="light1"/>
                        </w:rPr>
                      </m:ctrlPr>
                    </m:accPr>
                    <m:e>
                      <m:r>
                        <m:rPr>
                          <m:sty m:val="bi"/>
                        </m:rPr>
                        <w:rPr>
                          <w:rFonts w:ascii="Cambria Math" w:eastAsia="Times New Roman" w:hAnsi="Cambria Math" w:cstheme="minorHAnsi"/>
                          <w:color w:val="FFFFFF" w:themeColor="light1"/>
                        </w:rPr>
                        <m:t>σ</m:t>
                      </m:r>
                    </m:e>
                  </m:acc>
                </m:e>
                <m:sup>
                  <m:r>
                    <m:rPr>
                      <m:sty m:val="b"/>
                    </m:rPr>
                    <w:rPr>
                      <w:rFonts w:ascii="Cambria Math" w:eastAsia="Times New Roman" w:hAnsi="Cambria Math" w:cstheme="minorHAnsi"/>
                      <w:color w:val="FFFFFF" w:themeColor="light1"/>
                    </w:rPr>
                    <m:t>2</m:t>
                  </m:r>
                </m:sup>
              </m:sSup>
            </m:oMath>
            <w:r w:rsidRPr="00666451">
              <w:rPr>
                <w:rFonts w:eastAsia="Times New Roman" w:cstheme="minorHAnsi"/>
                <w:b/>
                <w:bCs/>
                <w:color w:val="FFFFFF" w:themeColor="light1"/>
              </w:rPr>
              <w:t xml:space="preserve"> </w:t>
            </w:r>
          </w:p>
        </w:tc>
      </w:tr>
      <w:tr w:rsidR="00666451" w:rsidRPr="00666451" w14:paraId="0FB6AFE3" w14:textId="77777777" w:rsidTr="00666451">
        <w:trPr>
          <w:trHeight w:hRule="exact" w:val="360"/>
        </w:trPr>
        <w:tc>
          <w:tcPr>
            <w:tcW w:w="2220" w:type="dxa"/>
            <w:tcBorders>
              <w:top w:val="single" w:sz="18" w:space="0" w:color="FFFFFF"/>
              <w:left w:val="nil"/>
              <w:bottom w:val="nil"/>
              <w:right w:val="single" w:sz="18" w:space="0" w:color="FFFFFF"/>
            </w:tcBorders>
            <w:shd w:val="clear" w:color="auto" w:fill="B1B2B4"/>
            <w:tcMar>
              <w:top w:w="15" w:type="dxa"/>
              <w:left w:w="108" w:type="dxa"/>
              <w:bottom w:w="0" w:type="dxa"/>
              <w:right w:w="108" w:type="dxa"/>
            </w:tcMar>
            <w:vAlign w:val="center"/>
            <w:hideMark/>
          </w:tcPr>
          <w:p w14:paraId="19878F44"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b/>
                <w:bCs/>
                <w:color w:val="000000"/>
              </w:rPr>
              <w:t>T1</w:t>
            </w:r>
          </w:p>
        </w:tc>
        <w:tc>
          <w:tcPr>
            <w:tcW w:w="2220" w:type="dxa"/>
            <w:tcBorders>
              <w:top w:val="single" w:sz="18" w:space="0" w:color="FFFFFF"/>
              <w:left w:val="single" w:sz="18" w:space="0" w:color="FFFFFF"/>
              <w:bottom w:val="nil"/>
              <w:right w:val="nil"/>
            </w:tcBorders>
            <w:shd w:val="clear" w:color="auto" w:fill="CFD0D1"/>
            <w:tcMar>
              <w:top w:w="15" w:type="dxa"/>
              <w:left w:w="108" w:type="dxa"/>
              <w:bottom w:w="0" w:type="dxa"/>
              <w:right w:w="108" w:type="dxa"/>
            </w:tcMar>
            <w:vAlign w:val="center"/>
            <w:hideMark/>
          </w:tcPr>
          <w:p w14:paraId="008FDEE7" w14:textId="77777777" w:rsidR="00666451" w:rsidRPr="00666451" w:rsidRDefault="00666451" w:rsidP="00666451">
            <w:pPr>
              <w:spacing w:line="360" w:lineRule="auto"/>
              <w:jc w:val="right"/>
              <w:rPr>
                <w:rFonts w:eastAsia="Times New Roman" w:cstheme="minorHAnsi"/>
              </w:rPr>
            </w:pPr>
            <w:r w:rsidRPr="00666451">
              <w:rPr>
                <w:rFonts w:eastAsia="Times New Roman" w:cstheme="minorHAnsi"/>
                <w:color w:val="000000"/>
              </w:rPr>
              <w:t>4.01</w:t>
            </w:r>
          </w:p>
        </w:tc>
        <w:tc>
          <w:tcPr>
            <w:tcW w:w="1700" w:type="dxa"/>
            <w:tcBorders>
              <w:top w:val="single" w:sz="18" w:space="0" w:color="FFFFFF"/>
              <w:left w:val="nil"/>
              <w:bottom w:val="nil"/>
              <w:right w:val="nil"/>
            </w:tcBorders>
            <w:shd w:val="clear" w:color="auto" w:fill="CFD0D1"/>
            <w:tcMar>
              <w:top w:w="15" w:type="dxa"/>
              <w:left w:w="108" w:type="dxa"/>
              <w:bottom w:w="0" w:type="dxa"/>
              <w:right w:w="108" w:type="dxa"/>
            </w:tcMar>
            <w:vAlign w:val="center"/>
            <w:hideMark/>
          </w:tcPr>
          <w:p w14:paraId="2A66E410" w14:textId="77777777" w:rsidR="00666451" w:rsidRPr="00666451" w:rsidRDefault="00666451" w:rsidP="00666451">
            <w:pPr>
              <w:spacing w:line="360" w:lineRule="auto"/>
              <w:rPr>
                <w:rFonts w:eastAsia="Times New Roman" w:cstheme="minorHAnsi"/>
              </w:rPr>
            </w:pPr>
            <w:r w:rsidRPr="00666451">
              <w:rPr>
                <w:rFonts w:eastAsia="Times New Roman" w:cstheme="minorHAnsi"/>
                <w:color w:val="000000"/>
              </w:rPr>
              <w:t>A</w:t>
            </w:r>
          </w:p>
        </w:tc>
        <w:tc>
          <w:tcPr>
            <w:tcW w:w="3280" w:type="dxa"/>
            <w:tcBorders>
              <w:top w:val="single" w:sz="18" w:space="0" w:color="FFFFFF"/>
              <w:left w:val="nil"/>
              <w:bottom w:val="nil"/>
              <w:right w:val="nil"/>
            </w:tcBorders>
            <w:shd w:val="clear" w:color="auto" w:fill="CFD0D1"/>
            <w:tcMar>
              <w:top w:w="15" w:type="dxa"/>
              <w:left w:w="108" w:type="dxa"/>
              <w:bottom w:w="0" w:type="dxa"/>
              <w:right w:w="108" w:type="dxa"/>
            </w:tcMar>
            <w:vAlign w:val="center"/>
            <w:hideMark/>
          </w:tcPr>
          <w:p w14:paraId="484810BB"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color w:val="000000"/>
              </w:rPr>
              <w:t xml:space="preserve">8.65 </w:t>
            </w:r>
          </w:p>
        </w:tc>
      </w:tr>
      <w:tr w:rsidR="00666451" w:rsidRPr="00666451" w14:paraId="2F56513F" w14:textId="77777777" w:rsidTr="00666451">
        <w:trPr>
          <w:trHeight w:hRule="exact" w:val="360"/>
        </w:trPr>
        <w:tc>
          <w:tcPr>
            <w:tcW w:w="2220" w:type="dxa"/>
            <w:tcBorders>
              <w:top w:val="nil"/>
              <w:left w:val="nil"/>
              <w:bottom w:val="nil"/>
              <w:right w:val="single" w:sz="18" w:space="0" w:color="FFFFFF"/>
            </w:tcBorders>
            <w:shd w:val="clear" w:color="auto" w:fill="B1B2B4"/>
            <w:tcMar>
              <w:top w:w="15" w:type="dxa"/>
              <w:left w:w="108" w:type="dxa"/>
              <w:bottom w:w="0" w:type="dxa"/>
              <w:right w:w="108" w:type="dxa"/>
            </w:tcMar>
            <w:vAlign w:val="center"/>
            <w:hideMark/>
          </w:tcPr>
          <w:p w14:paraId="6E866071"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b/>
                <w:bCs/>
                <w:color w:val="000000"/>
              </w:rPr>
              <w:t>T2</w:t>
            </w:r>
          </w:p>
        </w:tc>
        <w:tc>
          <w:tcPr>
            <w:tcW w:w="2220" w:type="dxa"/>
            <w:tcBorders>
              <w:top w:val="nil"/>
              <w:left w:val="single" w:sz="18" w:space="0" w:color="FFFFFF"/>
              <w:bottom w:val="nil"/>
              <w:right w:val="nil"/>
            </w:tcBorders>
            <w:shd w:val="clear" w:color="auto" w:fill="E9E9E9"/>
            <w:tcMar>
              <w:top w:w="15" w:type="dxa"/>
              <w:left w:w="108" w:type="dxa"/>
              <w:bottom w:w="0" w:type="dxa"/>
              <w:right w:w="108" w:type="dxa"/>
            </w:tcMar>
            <w:vAlign w:val="center"/>
            <w:hideMark/>
          </w:tcPr>
          <w:p w14:paraId="342ECC1B" w14:textId="77777777" w:rsidR="00666451" w:rsidRPr="00666451" w:rsidRDefault="00666451" w:rsidP="00666451">
            <w:pPr>
              <w:spacing w:line="360" w:lineRule="auto"/>
              <w:jc w:val="right"/>
              <w:rPr>
                <w:rFonts w:eastAsia="Times New Roman" w:cstheme="minorHAnsi"/>
              </w:rPr>
            </w:pPr>
            <w:r w:rsidRPr="00666451">
              <w:rPr>
                <w:rFonts w:eastAsia="Times New Roman" w:cstheme="minorHAnsi"/>
                <w:color w:val="000000"/>
              </w:rPr>
              <w:t>6.93</w:t>
            </w:r>
          </w:p>
        </w:tc>
        <w:tc>
          <w:tcPr>
            <w:tcW w:w="1700" w:type="dxa"/>
            <w:tcBorders>
              <w:top w:val="nil"/>
              <w:left w:val="nil"/>
              <w:bottom w:val="nil"/>
              <w:right w:val="nil"/>
            </w:tcBorders>
            <w:shd w:val="clear" w:color="auto" w:fill="E9E9E9"/>
            <w:tcMar>
              <w:top w:w="15" w:type="dxa"/>
              <w:left w:w="108" w:type="dxa"/>
              <w:bottom w:w="0" w:type="dxa"/>
              <w:right w:w="108" w:type="dxa"/>
            </w:tcMar>
            <w:vAlign w:val="center"/>
            <w:hideMark/>
          </w:tcPr>
          <w:p w14:paraId="025907CC" w14:textId="77777777" w:rsidR="00666451" w:rsidRPr="00666451" w:rsidRDefault="00666451" w:rsidP="00666451">
            <w:pPr>
              <w:spacing w:line="360" w:lineRule="auto"/>
              <w:rPr>
                <w:rFonts w:eastAsia="Times New Roman" w:cstheme="minorHAnsi"/>
              </w:rPr>
            </w:pPr>
            <w:r w:rsidRPr="00666451">
              <w:rPr>
                <w:rFonts w:eastAsia="Times New Roman" w:cstheme="minorHAnsi"/>
                <w:color w:val="000000"/>
              </w:rPr>
              <w:t>B</w:t>
            </w:r>
          </w:p>
        </w:tc>
        <w:tc>
          <w:tcPr>
            <w:tcW w:w="3280" w:type="dxa"/>
            <w:tcBorders>
              <w:top w:val="nil"/>
              <w:left w:val="nil"/>
              <w:bottom w:val="nil"/>
              <w:right w:val="nil"/>
            </w:tcBorders>
            <w:shd w:val="clear" w:color="auto" w:fill="E9E9E9"/>
            <w:tcMar>
              <w:top w:w="15" w:type="dxa"/>
              <w:left w:w="108" w:type="dxa"/>
              <w:bottom w:w="0" w:type="dxa"/>
              <w:right w:w="108" w:type="dxa"/>
            </w:tcMar>
            <w:vAlign w:val="center"/>
            <w:hideMark/>
          </w:tcPr>
          <w:p w14:paraId="2C8CC460"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color w:val="000000"/>
              </w:rPr>
              <w:t xml:space="preserve">37.16 </w:t>
            </w:r>
          </w:p>
        </w:tc>
      </w:tr>
      <w:tr w:rsidR="00666451" w:rsidRPr="00666451" w14:paraId="69A733FF" w14:textId="77777777" w:rsidTr="00666451">
        <w:trPr>
          <w:trHeight w:hRule="exact" w:val="360"/>
        </w:trPr>
        <w:tc>
          <w:tcPr>
            <w:tcW w:w="2220" w:type="dxa"/>
            <w:tcBorders>
              <w:top w:val="nil"/>
              <w:left w:val="nil"/>
              <w:bottom w:val="nil"/>
              <w:right w:val="single" w:sz="18" w:space="0" w:color="FFFFFF"/>
            </w:tcBorders>
            <w:shd w:val="clear" w:color="auto" w:fill="B1B2B4"/>
            <w:tcMar>
              <w:top w:w="15" w:type="dxa"/>
              <w:left w:w="108" w:type="dxa"/>
              <w:bottom w:w="0" w:type="dxa"/>
              <w:right w:w="108" w:type="dxa"/>
            </w:tcMar>
            <w:vAlign w:val="center"/>
            <w:hideMark/>
          </w:tcPr>
          <w:p w14:paraId="1D77BB79"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b/>
                <w:bCs/>
                <w:color w:val="000000"/>
              </w:rPr>
              <w:t>T3</w:t>
            </w:r>
          </w:p>
        </w:tc>
        <w:tc>
          <w:tcPr>
            <w:tcW w:w="2220" w:type="dxa"/>
            <w:tcBorders>
              <w:top w:val="nil"/>
              <w:left w:val="single" w:sz="18" w:space="0" w:color="FFFFFF"/>
              <w:bottom w:val="nil"/>
              <w:right w:val="nil"/>
            </w:tcBorders>
            <w:shd w:val="clear" w:color="auto" w:fill="CFD0D1"/>
            <w:tcMar>
              <w:top w:w="15" w:type="dxa"/>
              <w:left w:w="108" w:type="dxa"/>
              <w:bottom w:w="0" w:type="dxa"/>
              <w:right w:w="108" w:type="dxa"/>
            </w:tcMar>
            <w:vAlign w:val="center"/>
            <w:hideMark/>
          </w:tcPr>
          <w:p w14:paraId="155FE5C7" w14:textId="77777777" w:rsidR="00666451" w:rsidRPr="00666451" w:rsidRDefault="00666451" w:rsidP="00666451">
            <w:pPr>
              <w:spacing w:line="360" w:lineRule="auto"/>
              <w:jc w:val="right"/>
              <w:rPr>
                <w:rFonts w:eastAsia="Times New Roman" w:cstheme="minorHAnsi"/>
              </w:rPr>
            </w:pPr>
            <w:r w:rsidRPr="00666451">
              <w:rPr>
                <w:rFonts w:eastAsia="Times New Roman" w:cstheme="minorHAnsi"/>
                <w:color w:val="000000"/>
              </w:rPr>
              <w:t>7.41</w:t>
            </w:r>
          </w:p>
        </w:tc>
        <w:tc>
          <w:tcPr>
            <w:tcW w:w="1700" w:type="dxa"/>
            <w:tcBorders>
              <w:top w:val="nil"/>
              <w:left w:val="nil"/>
              <w:bottom w:val="nil"/>
              <w:right w:val="nil"/>
            </w:tcBorders>
            <w:shd w:val="clear" w:color="auto" w:fill="CFD0D1"/>
            <w:tcMar>
              <w:top w:w="15" w:type="dxa"/>
              <w:left w:w="108" w:type="dxa"/>
              <w:bottom w:w="0" w:type="dxa"/>
              <w:right w:w="108" w:type="dxa"/>
            </w:tcMar>
            <w:vAlign w:val="center"/>
            <w:hideMark/>
          </w:tcPr>
          <w:p w14:paraId="1AFECE73" w14:textId="77777777" w:rsidR="00666451" w:rsidRPr="00666451" w:rsidRDefault="00666451" w:rsidP="00666451">
            <w:pPr>
              <w:spacing w:line="360" w:lineRule="auto"/>
              <w:rPr>
                <w:rFonts w:eastAsia="Times New Roman" w:cstheme="minorHAnsi"/>
              </w:rPr>
            </w:pPr>
            <w:r w:rsidRPr="00666451">
              <w:rPr>
                <w:rFonts w:eastAsia="Times New Roman" w:cstheme="minorHAnsi"/>
                <w:color w:val="000000"/>
              </w:rPr>
              <w:t>B</w:t>
            </w:r>
          </w:p>
        </w:tc>
        <w:tc>
          <w:tcPr>
            <w:tcW w:w="3280" w:type="dxa"/>
            <w:tcBorders>
              <w:top w:val="nil"/>
              <w:left w:val="nil"/>
              <w:bottom w:val="nil"/>
              <w:right w:val="nil"/>
            </w:tcBorders>
            <w:shd w:val="clear" w:color="auto" w:fill="CFD0D1"/>
            <w:tcMar>
              <w:top w:w="15" w:type="dxa"/>
              <w:left w:w="108" w:type="dxa"/>
              <w:bottom w:w="0" w:type="dxa"/>
              <w:right w:w="108" w:type="dxa"/>
            </w:tcMar>
            <w:vAlign w:val="center"/>
            <w:hideMark/>
          </w:tcPr>
          <w:p w14:paraId="3C42CC5F"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color w:val="000000"/>
              </w:rPr>
              <w:t xml:space="preserve">40.79 </w:t>
            </w:r>
          </w:p>
        </w:tc>
      </w:tr>
      <w:tr w:rsidR="00666451" w:rsidRPr="00666451" w14:paraId="42156A44" w14:textId="77777777" w:rsidTr="00666451">
        <w:trPr>
          <w:trHeight w:hRule="exact" w:val="360"/>
        </w:trPr>
        <w:tc>
          <w:tcPr>
            <w:tcW w:w="2220" w:type="dxa"/>
            <w:tcBorders>
              <w:top w:val="nil"/>
              <w:left w:val="nil"/>
              <w:bottom w:val="nil"/>
              <w:right w:val="single" w:sz="18" w:space="0" w:color="FFFFFF"/>
            </w:tcBorders>
            <w:shd w:val="clear" w:color="auto" w:fill="B1B2B4"/>
            <w:tcMar>
              <w:top w:w="15" w:type="dxa"/>
              <w:left w:w="108" w:type="dxa"/>
              <w:bottom w:w="0" w:type="dxa"/>
              <w:right w:w="108" w:type="dxa"/>
            </w:tcMar>
            <w:vAlign w:val="center"/>
            <w:hideMark/>
          </w:tcPr>
          <w:p w14:paraId="4E82B585"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b/>
                <w:bCs/>
                <w:color w:val="000000"/>
              </w:rPr>
              <w:t>T3_L</w:t>
            </w:r>
          </w:p>
        </w:tc>
        <w:tc>
          <w:tcPr>
            <w:tcW w:w="2220" w:type="dxa"/>
            <w:tcBorders>
              <w:top w:val="nil"/>
              <w:left w:val="single" w:sz="18" w:space="0" w:color="FFFFFF"/>
              <w:bottom w:val="nil"/>
              <w:right w:val="nil"/>
            </w:tcBorders>
            <w:shd w:val="clear" w:color="auto" w:fill="E9E9E9"/>
            <w:tcMar>
              <w:top w:w="15" w:type="dxa"/>
              <w:left w:w="108" w:type="dxa"/>
              <w:bottom w:w="0" w:type="dxa"/>
              <w:right w:w="108" w:type="dxa"/>
            </w:tcMar>
            <w:vAlign w:val="center"/>
            <w:hideMark/>
          </w:tcPr>
          <w:p w14:paraId="077AA123" w14:textId="77777777" w:rsidR="00666451" w:rsidRPr="00666451" w:rsidRDefault="00666451" w:rsidP="00666451">
            <w:pPr>
              <w:spacing w:line="360" w:lineRule="auto"/>
              <w:jc w:val="right"/>
              <w:rPr>
                <w:rFonts w:eastAsia="Times New Roman" w:cstheme="minorHAnsi"/>
              </w:rPr>
            </w:pPr>
            <w:r w:rsidRPr="00666451">
              <w:rPr>
                <w:rFonts w:eastAsia="Times New Roman" w:cstheme="minorHAnsi"/>
                <w:color w:val="000000"/>
              </w:rPr>
              <w:t>6.65</w:t>
            </w:r>
          </w:p>
        </w:tc>
        <w:tc>
          <w:tcPr>
            <w:tcW w:w="1700" w:type="dxa"/>
            <w:tcBorders>
              <w:top w:val="nil"/>
              <w:left w:val="nil"/>
              <w:bottom w:val="nil"/>
              <w:right w:val="nil"/>
            </w:tcBorders>
            <w:shd w:val="clear" w:color="auto" w:fill="E9E9E9"/>
            <w:tcMar>
              <w:top w:w="15" w:type="dxa"/>
              <w:left w:w="108" w:type="dxa"/>
              <w:bottom w:w="0" w:type="dxa"/>
              <w:right w:w="108" w:type="dxa"/>
            </w:tcMar>
            <w:vAlign w:val="center"/>
            <w:hideMark/>
          </w:tcPr>
          <w:p w14:paraId="06846BD3" w14:textId="77777777" w:rsidR="00666451" w:rsidRPr="00666451" w:rsidRDefault="00666451" w:rsidP="00666451">
            <w:pPr>
              <w:spacing w:line="360" w:lineRule="auto"/>
              <w:rPr>
                <w:rFonts w:eastAsia="Times New Roman" w:cstheme="minorHAnsi"/>
              </w:rPr>
            </w:pPr>
            <w:r w:rsidRPr="00666451">
              <w:rPr>
                <w:rFonts w:eastAsia="Times New Roman" w:cstheme="minorHAnsi"/>
                <w:color w:val="000000"/>
              </w:rPr>
              <w:t>B</w:t>
            </w:r>
          </w:p>
        </w:tc>
        <w:tc>
          <w:tcPr>
            <w:tcW w:w="3280" w:type="dxa"/>
            <w:tcBorders>
              <w:top w:val="nil"/>
              <w:left w:val="nil"/>
              <w:bottom w:val="nil"/>
              <w:right w:val="nil"/>
            </w:tcBorders>
            <w:shd w:val="clear" w:color="auto" w:fill="E9E9E9"/>
            <w:tcMar>
              <w:top w:w="15" w:type="dxa"/>
              <w:left w:w="108" w:type="dxa"/>
              <w:bottom w:w="0" w:type="dxa"/>
              <w:right w:w="108" w:type="dxa"/>
            </w:tcMar>
            <w:vAlign w:val="center"/>
            <w:hideMark/>
          </w:tcPr>
          <w:p w14:paraId="2129224B"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color w:val="000000"/>
              </w:rPr>
              <w:t>31.72</w:t>
            </w:r>
          </w:p>
        </w:tc>
      </w:tr>
      <w:tr w:rsidR="00666451" w:rsidRPr="00666451" w14:paraId="00DC05E4" w14:textId="77777777" w:rsidTr="00666451">
        <w:trPr>
          <w:trHeight w:hRule="exact" w:val="360"/>
        </w:trPr>
        <w:tc>
          <w:tcPr>
            <w:tcW w:w="2220" w:type="dxa"/>
            <w:tcBorders>
              <w:top w:val="nil"/>
              <w:left w:val="nil"/>
              <w:bottom w:val="nil"/>
              <w:right w:val="single" w:sz="18" w:space="0" w:color="FFFFFF"/>
            </w:tcBorders>
            <w:shd w:val="clear" w:color="auto" w:fill="B1B2B4"/>
            <w:tcMar>
              <w:top w:w="15" w:type="dxa"/>
              <w:left w:w="108" w:type="dxa"/>
              <w:bottom w:w="0" w:type="dxa"/>
              <w:right w:w="108" w:type="dxa"/>
            </w:tcMar>
            <w:vAlign w:val="center"/>
            <w:hideMark/>
          </w:tcPr>
          <w:p w14:paraId="4A9A966F"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b/>
                <w:bCs/>
                <w:color w:val="000000"/>
              </w:rPr>
              <w:t>T1_T3</w:t>
            </w:r>
          </w:p>
        </w:tc>
        <w:tc>
          <w:tcPr>
            <w:tcW w:w="2220" w:type="dxa"/>
            <w:tcBorders>
              <w:top w:val="nil"/>
              <w:left w:val="single" w:sz="18" w:space="0" w:color="FFFFFF"/>
              <w:bottom w:val="nil"/>
              <w:right w:val="nil"/>
            </w:tcBorders>
            <w:shd w:val="clear" w:color="auto" w:fill="CFD0D1"/>
            <w:tcMar>
              <w:top w:w="15" w:type="dxa"/>
              <w:left w:w="108" w:type="dxa"/>
              <w:bottom w:w="0" w:type="dxa"/>
              <w:right w:w="108" w:type="dxa"/>
            </w:tcMar>
            <w:vAlign w:val="center"/>
            <w:hideMark/>
          </w:tcPr>
          <w:p w14:paraId="2789F119" w14:textId="77777777" w:rsidR="00666451" w:rsidRPr="00666451" w:rsidRDefault="00666451" w:rsidP="00666451">
            <w:pPr>
              <w:spacing w:line="360" w:lineRule="auto"/>
              <w:jc w:val="right"/>
              <w:rPr>
                <w:rFonts w:eastAsia="Times New Roman" w:cstheme="minorHAnsi"/>
              </w:rPr>
            </w:pPr>
            <w:r w:rsidRPr="00666451">
              <w:rPr>
                <w:rFonts w:eastAsia="Times New Roman" w:cstheme="minorHAnsi"/>
                <w:color w:val="000000"/>
              </w:rPr>
              <w:t>10.53</w:t>
            </w:r>
          </w:p>
        </w:tc>
        <w:tc>
          <w:tcPr>
            <w:tcW w:w="1700" w:type="dxa"/>
            <w:tcBorders>
              <w:top w:val="nil"/>
              <w:left w:val="nil"/>
              <w:bottom w:val="nil"/>
              <w:right w:val="nil"/>
            </w:tcBorders>
            <w:shd w:val="clear" w:color="auto" w:fill="CFD0D1"/>
            <w:tcMar>
              <w:top w:w="15" w:type="dxa"/>
              <w:left w:w="108" w:type="dxa"/>
              <w:bottom w:w="0" w:type="dxa"/>
              <w:right w:w="108" w:type="dxa"/>
            </w:tcMar>
            <w:vAlign w:val="center"/>
            <w:hideMark/>
          </w:tcPr>
          <w:p w14:paraId="71F31E93" w14:textId="77777777" w:rsidR="00666451" w:rsidRPr="00666451" w:rsidRDefault="00666451" w:rsidP="00666451">
            <w:pPr>
              <w:spacing w:line="360" w:lineRule="auto"/>
              <w:rPr>
                <w:rFonts w:eastAsia="Times New Roman" w:cstheme="minorHAnsi"/>
              </w:rPr>
            </w:pPr>
            <w:r w:rsidRPr="00666451">
              <w:rPr>
                <w:rFonts w:eastAsia="Times New Roman" w:cstheme="minorHAnsi"/>
                <w:color w:val="000000"/>
              </w:rPr>
              <w:t>C</w:t>
            </w:r>
          </w:p>
        </w:tc>
        <w:tc>
          <w:tcPr>
            <w:tcW w:w="3280" w:type="dxa"/>
            <w:tcBorders>
              <w:top w:val="nil"/>
              <w:left w:val="nil"/>
              <w:bottom w:val="nil"/>
              <w:right w:val="nil"/>
            </w:tcBorders>
            <w:shd w:val="clear" w:color="auto" w:fill="CFD0D1"/>
            <w:tcMar>
              <w:top w:w="15" w:type="dxa"/>
              <w:left w:w="108" w:type="dxa"/>
              <w:bottom w:w="0" w:type="dxa"/>
              <w:right w:w="108" w:type="dxa"/>
            </w:tcMar>
            <w:vAlign w:val="center"/>
            <w:hideMark/>
          </w:tcPr>
          <w:p w14:paraId="16E8ED15"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color w:val="000000"/>
              </w:rPr>
              <w:t>60.76</w:t>
            </w:r>
          </w:p>
        </w:tc>
      </w:tr>
      <w:tr w:rsidR="00666451" w:rsidRPr="00666451" w14:paraId="60CCF995" w14:textId="77777777" w:rsidTr="00666451">
        <w:trPr>
          <w:trHeight w:hRule="exact" w:val="360"/>
        </w:trPr>
        <w:tc>
          <w:tcPr>
            <w:tcW w:w="2220" w:type="dxa"/>
            <w:tcBorders>
              <w:top w:val="nil"/>
              <w:left w:val="nil"/>
              <w:bottom w:val="nil"/>
              <w:right w:val="single" w:sz="18" w:space="0" w:color="FFFFFF"/>
            </w:tcBorders>
            <w:shd w:val="clear" w:color="auto" w:fill="B1B2B4"/>
            <w:tcMar>
              <w:top w:w="15" w:type="dxa"/>
              <w:left w:w="108" w:type="dxa"/>
              <w:bottom w:w="0" w:type="dxa"/>
              <w:right w:w="108" w:type="dxa"/>
            </w:tcMar>
            <w:vAlign w:val="center"/>
            <w:hideMark/>
          </w:tcPr>
          <w:p w14:paraId="13DAA557"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b/>
                <w:bCs/>
                <w:color w:val="000000"/>
              </w:rPr>
              <w:t>T2_T3</w:t>
            </w:r>
          </w:p>
        </w:tc>
        <w:tc>
          <w:tcPr>
            <w:tcW w:w="2220" w:type="dxa"/>
            <w:tcBorders>
              <w:top w:val="nil"/>
              <w:left w:val="single" w:sz="18" w:space="0" w:color="FFFFFF"/>
              <w:bottom w:val="nil"/>
              <w:right w:val="nil"/>
            </w:tcBorders>
            <w:shd w:val="clear" w:color="auto" w:fill="E9E9E9"/>
            <w:tcMar>
              <w:top w:w="15" w:type="dxa"/>
              <w:left w:w="108" w:type="dxa"/>
              <w:bottom w:w="0" w:type="dxa"/>
              <w:right w:w="108" w:type="dxa"/>
            </w:tcMar>
            <w:vAlign w:val="center"/>
            <w:hideMark/>
          </w:tcPr>
          <w:p w14:paraId="4605C636" w14:textId="77777777" w:rsidR="00666451" w:rsidRPr="00666451" w:rsidRDefault="00666451" w:rsidP="00666451">
            <w:pPr>
              <w:spacing w:line="360" w:lineRule="auto"/>
              <w:jc w:val="right"/>
              <w:rPr>
                <w:rFonts w:eastAsia="Times New Roman" w:cstheme="minorHAnsi"/>
              </w:rPr>
            </w:pPr>
            <w:r w:rsidRPr="00666451">
              <w:rPr>
                <w:rFonts w:eastAsia="Times New Roman" w:cstheme="minorHAnsi"/>
                <w:color w:val="000000"/>
              </w:rPr>
              <w:t>9.48</w:t>
            </w:r>
          </w:p>
        </w:tc>
        <w:tc>
          <w:tcPr>
            <w:tcW w:w="1700" w:type="dxa"/>
            <w:tcBorders>
              <w:top w:val="nil"/>
              <w:left w:val="nil"/>
              <w:bottom w:val="nil"/>
              <w:right w:val="nil"/>
            </w:tcBorders>
            <w:shd w:val="clear" w:color="auto" w:fill="E9E9E9"/>
            <w:tcMar>
              <w:top w:w="15" w:type="dxa"/>
              <w:left w:w="108" w:type="dxa"/>
              <w:bottom w:w="0" w:type="dxa"/>
              <w:right w:w="108" w:type="dxa"/>
            </w:tcMar>
            <w:vAlign w:val="center"/>
            <w:hideMark/>
          </w:tcPr>
          <w:p w14:paraId="6691CF28" w14:textId="77777777" w:rsidR="00666451" w:rsidRPr="00666451" w:rsidRDefault="00666451" w:rsidP="00666451">
            <w:pPr>
              <w:spacing w:line="360" w:lineRule="auto"/>
              <w:rPr>
                <w:rFonts w:eastAsia="Times New Roman" w:cstheme="minorHAnsi"/>
              </w:rPr>
            </w:pPr>
            <w:r w:rsidRPr="00666451">
              <w:rPr>
                <w:rFonts w:eastAsia="Times New Roman" w:cstheme="minorHAnsi"/>
                <w:color w:val="000000"/>
              </w:rPr>
              <w:t>CB</w:t>
            </w:r>
          </w:p>
        </w:tc>
        <w:tc>
          <w:tcPr>
            <w:tcW w:w="3280" w:type="dxa"/>
            <w:tcBorders>
              <w:top w:val="nil"/>
              <w:left w:val="nil"/>
              <w:bottom w:val="nil"/>
              <w:right w:val="nil"/>
            </w:tcBorders>
            <w:shd w:val="clear" w:color="auto" w:fill="E9E9E9"/>
            <w:tcMar>
              <w:top w:w="15" w:type="dxa"/>
              <w:left w:w="108" w:type="dxa"/>
              <w:bottom w:w="0" w:type="dxa"/>
              <w:right w:w="108" w:type="dxa"/>
            </w:tcMar>
            <w:vAlign w:val="center"/>
            <w:hideMark/>
          </w:tcPr>
          <w:p w14:paraId="02C52945" w14:textId="77777777" w:rsidR="00666451" w:rsidRPr="00666451" w:rsidRDefault="00666451" w:rsidP="00666451">
            <w:pPr>
              <w:spacing w:line="360" w:lineRule="auto"/>
              <w:jc w:val="center"/>
              <w:rPr>
                <w:rFonts w:eastAsia="Times New Roman" w:cstheme="minorHAnsi"/>
              </w:rPr>
            </w:pPr>
            <w:r w:rsidRPr="00666451">
              <w:rPr>
                <w:rFonts w:eastAsia="Times New Roman" w:cstheme="minorHAnsi"/>
                <w:color w:val="000000"/>
              </w:rPr>
              <w:t>64.14</w:t>
            </w:r>
          </w:p>
        </w:tc>
      </w:tr>
    </w:tbl>
    <w:p w14:paraId="68FBB799" w14:textId="24CA7220" w:rsidR="00666451" w:rsidRDefault="00666451" w:rsidP="001459F4">
      <w:pPr>
        <w:rPr>
          <w:rFonts w:cstheme="minorHAnsi"/>
        </w:rPr>
      </w:pPr>
    </w:p>
    <w:p w14:paraId="0589026E" w14:textId="0C5DD96D" w:rsidR="00183C7E" w:rsidRDefault="00183C7E" w:rsidP="001459F4">
      <w:pPr>
        <w:rPr>
          <w:rFonts w:cstheme="minorHAnsi"/>
        </w:rPr>
      </w:pPr>
      <w:r>
        <w:rPr>
          <w:rFonts w:cstheme="minorHAnsi"/>
        </w:rPr>
        <w:t xml:space="preserve">To build upon this work Dr. Steinke and I </w:t>
      </w:r>
      <w:r w:rsidR="00BA6C12">
        <w:rPr>
          <w:rFonts w:cstheme="minorHAnsi"/>
        </w:rPr>
        <w:t xml:space="preserve">have been examining </w:t>
      </w:r>
      <w:r>
        <w:rPr>
          <w:rFonts w:cstheme="minorHAnsi"/>
        </w:rPr>
        <w:t xml:space="preserve">the role of multiple fungicide applications together with fertility programs to maximize profitability. </w:t>
      </w:r>
      <w:r w:rsidR="00BA6C12">
        <w:rPr>
          <w:rFonts w:cstheme="minorHAnsi"/>
        </w:rPr>
        <w:t>In 2022 we had issues with our newly installed linear irrigation system. But were able to implement some irrigation treatments</w:t>
      </w:r>
      <w:r>
        <w:rPr>
          <w:rFonts w:cstheme="minorHAnsi"/>
        </w:rPr>
        <w:t xml:space="preserve">. </w:t>
      </w:r>
    </w:p>
    <w:p w14:paraId="402BBFB2" w14:textId="6965E7C7" w:rsidR="00183C7E" w:rsidRDefault="00183C7E" w:rsidP="001459F4">
      <w:pPr>
        <w:rPr>
          <w:rFonts w:cstheme="minorHAnsi"/>
        </w:rPr>
      </w:pPr>
    </w:p>
    <w:p w14:paraId="28638142" w14:textId="77777777" w:rsidR="00BA6C12" w:rsidRDefault="00BA6C12" w:rsidP="001459F4">
      <w:pPr>
        <w:rPr>
          <w:rFonts w:cstheme="minorHAnsi"/>
        </w:rPr>
      </w:pPr>
    </w:p>
    <w:p w14:paraId="0579AE83" w14:textId="47DE5956" w:rsidR="00183C7E" w:rsidRPr="00183C7E" w:rsidRDefault="00183C7E" w:rsidP="001459F4">
      <w:pPr>
        <w:rPr>
          <w:rFonts w:cstheme="minorHAnsi"/>
          <w:b/>
        </w:rPr>
      </w:pPr>
      <w:r w:rsidRPr="00183C7E">
        <w:rPr>
          <w:rFonts w:cstheme="minorHAnsi"/>
          <w:b/>
        </w:rPr>
        <w:t>Fungicide resistance monitoring</w:t>
      </w:r>
    </w:p>
    <w:p w14:paraId="16A87546" w14:textId="6B3C1626" w:rsidR="00666451" w:rsidRDefault="00183C7E" w:rsidP="001459F4">
      <w:pPr>
        <w:rPr>
          <w:rFonts w:cstheme="minorHAnsi"/>
        </w:rPr>
      </w:pPr>
      <w:r>
        <w:rPr>
          <w:rFonts w:cstheme="minorHAnsi"/>
        </w:rPr>
        <w:t xml:space="preserve">Mikaela Breunig for her PhD did a fantastic job at assessing which </w:t>
      </w:r>
      <w:r w:rsidRPr="008364CB">
        <w:rPr>
          <w:rFonts w:cstheme="minorHAnsi"/>
          <w:i/>
        </w:rPr>
        <w:t>Fusarium</w:t>
      </w:r>
      <w:r>
        <w:rPr>
          <w:rFonts w:cstheme="minorHAnsi"/>
        </w:rPr>
        <w:t xml:space="preserve"> species are responsible for head scab or wheat and ear mold of corn. Mikaela, also assessed these species for fungicide sensitivity to the commonly used DMI fungicides for head scab management, and the recent SDHI (pydiflumetofen) which is a component of Miravis Ace. Thankfully those Fusarium isolates screened all appeared sensitivity to the fungicides tested</w:t>
      </w:r>
      <w:r w:rsidR="008364CB">
        <w:rPr>
          <w:rFonts w:cstheme="minorHAnsi"/>
        </w:rPr>
        <w:t xml:space="preserve">, with no practical resistance found. There was some variation in </w:t>
      </w:r>
      <w:r w:rsidR="00E97BBD">
        <w:rPr>
          <w:rFonts w:cstheme="minorHAnsi"/>
        </w:rPr>
        <w:t xml:space="preserve">fungicide </w:t>
      </w:r>
      <w:r w:rsidR="008364CB">
        <w:rPr>
          <w:rFonts w:cstheme="minorHAnsi"/>
        </w:rPr>
        <w:t>sensitivity, so there is potential for selection for resistance and this should be monitored</w:t>
      </w:r>
      <w:r>
        <w:rPr>
          <w:rFonts w:cstheme="minorHAnsi"/>
        </w:rPr>
        <w:t xml:space="preserve">. However, some isolates of </w:t>
      </w:r>
      <w:r w:rsidRPr="001459F4">
        <w:rPr>
          <w:rFonts w:cstheme="minorHAnsi"/>
          <w:i/>
        </w:rPr>
        <w:t>Zymoseptoria tritici</w:t>
      </w:r>
      <w:r>
        <w:rPr>
          <w:rFonts w:cstheme="minorHAnsi"/>
        </w:rPr>
        <w:t xml:space="preserve"> (Septoria blotch) sent to international colleagues do appear to be resistant to some fungicide chemistries. We may not have the capacity to immediately follow up on this work, however we do plan to begin collecting isolates and collaborating with colleagues to begin assessing this risk. </w:t>
      </w:r>
    </w:p>
    <w:p w14:paraId="3CF6FFD1" w14:textId="18B94BD2" w:rsidR="00BA6C12" w:rsidRDefault="00BA6C12" w:rsidP="00BA6C12">
      <w:pPr>
        <w:ind w:firstLine="720"/>
        <w:rPr>
          <w:rFonts w:cstheme="minorHAnsi"/>
        </w:rPr>
      </w:pPr>
      <w:r>
        <w:rPr>
          <w:rFonts w:cstheme="minorHAnsi"/>
        </w:rPr>
        <w:t xml:space="preserve">In 2022, we were successful in obtaining USWBSI funds to conduct a national screen of </w:t>
      </w:r>
      <w:r w:rsidRPr="00BA6C12">
        <w:rPr>
          <w:rFonts w:cstheme="minorHAnsi"/>
          <w:i/>
          <w:iCs/>
        </w:rPr>
        <w:t>Fusarium</w:t>
      </w:r>
      <w:r>
        <w:rPr>
          <w:rFonts w:cstheme="minorHAnsi"/>
        </w:rPr>
        <w:t xml:space="preserve"> species associated with head scab and their fungicide sensitivity. This project will help build upon previous MWP sponsored activities, which will benefit wheat farmers.</w:t>
      </w:r>
    </w:p>
    <w:p w14:paraId="3BE0D20C" w14:textId="5B975ECB" w:rsidR="008364CB" w:rsidRDefault="008364CB" w:rsidP="001459F4">
      <w:pPr>
        <w:rPr>
          <w:rFonts w:cstheme="minorHAnsi"/>
        </w:rPr>
      </w:pPr>
    </w:p>
    <w:p w14:paraId="1F604A03" w14:textId="34C94634" w:rsidR="001459F4" w:rsidRPr="000416C7" w:rsidRDefault="001459F4" w:rsidP="001459F4">
      <w:pPr>
        <w:rPr>
          <w:rFonts w:cstheme="minorHAnsi"/>
        </w:rPr>
      </w:pPr>
    </w:p>
    <w:p w14:paraId="045E2BFC" w14:textId="77777777" w:rsidR="007614F7" w:rsidRDefault="007614F7" w:rsidP="007614F7">
      <w:r w:rsidRPr="00127C9D">
        <w:rPr>
          <w:b/>
        </w:rPr>
        <w:t>One Paragraph Summary of Project</w:t>
      </w:r>
      <w:r>
        <w:t xml:space="preserve">:  </w:t>
      </w:r>
      <w:r w:rsidRPr="00AB3A8F">
        <w:rPr>
          <w:i/>
          <w:iCs/>
        </w:rPr>
        <w:t xml:space="preserve">One paragraph that details what was learned and its benefit to Michigan wheat growers.  This paragraph should contain no business sensitive or confidential </w:t>
      </w:r>
      <w:r w:rsidRPr="00AB3A8F">
        <w:rPr>
          <w:i/>
          <w:iCs/>
        </w:rPr>
        <w:lastRenderedPageBreak/>
        <w:t>information and will be used to publicly describe research through our communications including our website, annual report and press releases.</w:t>
      </w:r>
    </w:p>
    <w:p w14:paraId="2BCA0324" w14:textId="77777777" w:rsidR="007614F7" w:rsidRDefault="007614F7" w:rsidP="007614F7"/>
    <w:p w14:paraId="7FE75670" w14:textId="502FEABA" w:rsidR="007614F7" w:rsidRDefault="007614F7" w:rsidP="007614F7">
      <w:r>
        <w:t xml:space="preserve">The project enabled us to identify wheat pathogens in Michigan, and assess them for their fungicide sensitivity. We also conducted fungicide efficacy trials, and economic analysis of fungicide application timings. This information is critical to Michigan wheat producers as we strive to maximize quality, yield but also economics and sustainability of production. </w:t>
      </w:r>
    </w:p>
    <w:p w14:paraId="68EC0923" w14:textId="77777777" w:rsidR="007614F7" w:rsidRDefault="007614F7" w:rsidP="007614F7"/>
    <w:p w14:paraId="422766B2" w14:textId="77777777" w:rsidR="007614F7" w:rsidRDefault="007614F7" w:rsidP="007614F7">
      <w:r>
        <w:rPr>
          <w:b/>
        </w:rPr>
        <w:t>Recommendations from</w:t>
      </w:r>
      <w:r w:rsidRPr="00127C9D">
        <w:rPr>
          <w:b/>
        </w:rPr>
        <w:t xml:space="preserve"> Project</w:t>
      </w:r>
      <w:r>
        <w:t xml:space="preserve">:  </w:t>
      </w:r>
      <w:r w:rsidRPr="00AB3A8F">
        <w:rPr>
          <w:i/>
          <w:iCs/>
        </w:rPr>
        <w:t>One to three paragraphs that detail what you would recommend based on this research. If you were in the field talking with a Michigan wheat grower, what would you tell them to do based on this research. Please include economic work about the economics of this project, as it is possible to increase yield and become too costly to make the bottom line work for the grower.  This paragraph(s) should contain no business sensitive or confidential information and will be used to publicly describe research through our communications including our website, annual report and press releases. This information will also be used to update grower publications and to provide recommendations.</w:t>
      </w:r>
    </w:p>
    <w:p w14:paraId="7C9B927A" w14:textId="77777777" w:rsidR="007614F7" w:rsidRDefault="007614F7" w:rsidP="007614F7">
      <w:pPr>
        <w:rPr>
          <w:b/>
        </w:rPr>
      </w:pPr>
    </w:p>
    <w:p w14:paraId="774F4E06" w14:textId="5EE96D25" w:rsidR="007614F7" w:rsidRPr="0093011A" w:rsidRDefault="007614F7" w:rsidP="007614F7">
      <w:pPr>
        <w:rPr>
          <w:bCs/>
        </w:rPr>
      </w:pPr>
      <w:r w:rsidRPr="00BA6C12">
        <w:rPr>
          <w:bCs/>
        </w:rPr>
        <w:t>Use of IPM principles is critical to managing diseases and maintaining efficacy of disease management tools such as foliar fungicides. Foliar fungicide at Fks5-7 did yield on average a 4 bu/A advantage compared to no fungicide.</w:t>
      </w:r>
      <w:r w:rsidR="00BA6C12" w:rsidRPr="00BA6C12">
        <w:rPr>
          <w:bCs/>
        </w:rPr>
        <w:t xml:space="preserve"> However, it is of note that our colleagues in Ontario tend to only see a 1.5 bu/A advantage from a similar timing.</w:t>
      </w:r>
      <w:r w:rsidRPr="00BA6C12">
        <w:rPr>
          <w:bCs/>
        </w:rPr>
        <w:t xml:space="preserve"> If only one fungicide application is to be made, often the best timing is at flowering, where there is some suppression of head scab, but also foliar disease. However, there are situations where an earlier foliar fungicide is necessary to manage aggressive diseases such as stripe rust, which was problematic in 2016 and 2017.</w:t>
      </w:r>
    </w:p>
    <w:p w14:paraId="38713830" w14:textId="77777777" w:rsidR="007614F7" w:rsidRDefault="007614F7" w:rsidP="007614F7">
      <w:pPr>
        <w:rPr>
          <w:b/>
        </w:rPr>
      </w:pPr>
    </w:p>
    <w:p w14:paraId="6A855497" w14:textId="77777777" w:rsidR="007614F7" w:rsidRDefault="007614F7" w:rsidP="007614F7">
      <w:pPr>
        <w:rPr>
          <w:b/>
        </w:rPr>
      </w:pPr>
    </w:p>
    <w:p w14:paraId="180B05D1" w14:textId="77777777" w:rsidR="007614F7" w:rsidRDefault="007614F7" w:rsidP="007614F7">
      <w:r>
        <w:rPr>
          <w:b/>
        </w:rPr>
        <w:t>Future work</w:t>
      </w:r>
      <w:r>
        <w:t xml:space="preserve">:  </w:t>
      </w:r>
      <w:r w:rsidRPr="00AB3A8F">
        <w:rPr>
          <w:i/>
          <w:iCs/>
        </w:rPr>
        <w:t>Up to 1 page of discussion of next steps.  If project is experiencing delays, please describe cause of delay and approach to achieve project goals.  If you are requesting funding from MWP for next steps please state an approximate amount and briefly what would be achieved with additional funding.</w:t>
      </w:r>
    </w:p>
    <w:p w14:paraId="79EAD80C" w14:textId="77777777" w:rsidR="007614F7" w:rsidRDefault="007614F7" w:rsidP="007614F7">
      <w:pPr>
        <w:rPr>
          <w:b/>
        </w:rPr>
      </w:pPr>
    </w:p>
    <w:p w14:paraId="416F3C3F" w14:textId="6241191A" w:rsidR="007614F7" w:rsidRDefault="007614F7" w:rsidP="007614F7">
      <w:pPr>
        <w:rPr>
          <w:bCs/>
        </w:rPr>
      </w:pPr>
      <w:r w:rsidRPr="00AB3A8F">
        <w:rPr>
          <w:bCs/>
        </w:rPr>
        <w:t xml:space="preserve">Future work will include </w:t>
      </w:r>
      <w:r>
        <w:rPr>
          <w:bCs/>
        </w:rPr>
        <w:t xml:space="preserve">continued pathogenicity and fungicide sensitivity of fungal and oomycete species recovered from diseased wheat seedlings. Efforts will continue in </w:t>
      </w:r>
      <w:r w:rsidRPr="00AB3A8F">
        <w:rPr>
          <w:bCs/>
        </w:rPr>
        <w:t>monitoring for fungicide sensitivity</w:t>
      </w:r>
      <w:r>
        <w:rPr>
          <w:bCs/>
        </w:rPr>
        <w:t xml:space="preserve">, fungicide efficacy trials for head scab and foliar disease management, to continue refining recommendations based on changing product availability. A systematic viral disease survey should be conducted. However, this will require support from the board.  </w:t>
      </w:r>
    </w:p>
    <w:p w14:paraId="63670856" w14:textId="77777777" w:rsidR="007614F7" w:rsidRDefault="007614F7" w:rsidP="007614F7">
      <w:pPr>
        <w:rPr>
          <w:bCs/>
        </w:rPr>
      </w:pPr>
    </w:p>
    <w:p w14:paraId="02B7C814" w14:textId="77777777" w:rsidR="007614F7" w:rsidRPr="00AB3A8F" w:rsidRDefault="007614F7" w:rsidP="007614F7">
      <w:pPr>
        <w:rPr>
          <w:bCs/>
        </w:rPr>
      </w:pPr>
    </w:p>
    <w:p w14:paraId="5F834BE7" w14:textId="77777777" w:rsidR="007614F7" w:rsidRPr="00AB3A8F" w:rsidRDefault="007614F7" w:rsidP="007614F7">
      <w:pPr>
        <w:rPr>
          <w:i/>
          <w:iCs/>
        </w:rPr>
      </w:pPr>
      <w:r>
        <w:rPr>
          <w:b/>
        </w:rPr>
        <w:t>Project Changes</w:t>
      </w:r>
      <w:r>
        <w:t xml:space="preserve">: </w:t>
      </w:r>
      <w:r w:rsidRPr="00AB3A8F">
        <w:rPr>
          <w:i/>
          <w:iCs/>
        </w:rPr>
        <w:t xml:space="preserve">Please list any changes that impacted the project (e.g. publications, I.P., change of personnel, additional funding).  </w:t>
      </w:r>
      <w:bookmarkStart w:id="0" w:name="_Hlk523993682"/>
      <w:r w:rsidRPr="00AB3A8F">
        <w:rPr>
          <w:i/>
          <w:iCs/>
        </w:rPr>
        <w:t>[Note this reporting is in addition to any reporting and timing thereof as required through the Master Agreement.]</w:t>
      </w:r>
      <w:bookmarkEnd w:id="0"/>
    </w:p>
    <w:p w14:paraId="4B03D64E" w14:textId="77777777" w:rsidR="007614F7" w:rsidRPr="00AB3A8F" w:rsidRDefault="007614F7" w:rsidP="007614F7">
      <w:pPr>
        <w:rPr>
          <w:bCs/>
        </w:rPr>
      </w:pPr>
      <w:r w:rsidRPr="00AB3A8F">
        <w:rPr>
          <w:bCs/>
        </w:rPr>
        <w:t>None</w:t>
      </w:r>
    </w:p>
    <w:p w14:paraId="6D4142B4" w14:textId="77777777" w:rsidR="007614F7" w:rsidRDefault="007614F7" w:rsidP="007614F7">
      <w:pPr>
        <w:rPr>
          <w:b/>
        </w:rPr>
      </w:pPr>
    </w:p>
    <w:p w14:paraId="7BA8E175" w14:textId="77777777" w:rsidR="007614F7" w:rsidRDefault="007614F7" w:rsidP="007614F7">
      <w:pPr>
        <w:rPr>
          <w:b/>
        </w:rPr>
      </w:pPr>
    </w:p>
    <w:p w14:paraId="18DE3F44" w14:textId="77777777" w:rsidR="007614F7" w:rsidRDefault="007614F7" w:rsidP="007614F7">
      <w:r>
        <w:rPr>
          <w:b/>
        </w:rPr>
        <w:t>Budget narrative</w:t>
      </w:r>
      <w:r>
        <w:t xml:space="preserve">: </w:t>
      </w:r>
      <w:r w:rsidRPr="00AB3A8F">
        <w:rPr>
          <w:i/>
          <w:iCs/>
        </w:rPr>
        <w:t>Please describe any overage or shortfall for spending to date.  If project is on target for spending projections, please state “On target.”</w:t>
      </w:r>
    </w:p>
    <w:p w14:paraId="212DCDA0" w14:textId="77777777" w:rsidR="007614F7" w:rsidRPr="00AB3A8F" w:rsidRDefault="007614F7" w:rsidP="007614F7">
      <w:pPr>
        <w:rPr>
          <w:bCs/>
        </w:rPr>
      </w:pPr>
      <w:r w:rsidRPr="00AB3A8F">
        <w:rPr>
          <w:bCs/>
        </w:rPr>
        <w:t>None</w:t>
      </w:r>
    </w:p>
    <w:p w14:paraId="75363642" w14:textId="77777777" w:rsidR="007614F7" w:rsidRDefault="007614F7" w:rsidP="007614F7">
      <w:pPr>
        <w:rPr>
          <w:b/>
        </w:rPr>
      </w:pPr>
    </w:p>
    <w:p w14:paraId="3BCC7897" w14:textId="77777777" w:rsidR="007614F7" w:rsidRDefault="007614F7" w:rsidP="007614F7">
      <w:pPr>
        <w:rPr>
          <w:b/>
        </w:rPr>
      </w:pPr>
    </w:p>
    <w:p w14:paraId="2E3B0103" w14:textId="77777777" w:rsidR="007614F7" w:rsidRPr="00AB3A8F" w:rsidRDefault="007614F7" w:rsidP="007614F7">
      <w:pPr>
        <w:rPr>
          <w:i/>
          <w:iCs/>
        </w:rPr>
      </w:pPr>
      <w:r w:rsidRPr="00127C9D">
        <w:rPr>
          <w:b/>
        </w:rPr>
        <w:lastRenderedPageBreak/>
        <w:t>Intellectual property</w:t>
      </w:r>
      <w:r>
        <w:t xml:space="preserve">: </w:t>
      </w:r>
      <w:r w:rsidRPr="00AB3A8F">
        <w:rPr>
          <w:i/>
          <w:iCs/>
        </w:rPr>
        <w:t>Please describe any intellectual property that was developed during project.  Explain approach and timing to secure intellectual property. [Note this reporting does not supersede any reporting and timing as required by the Master Agreement.]</w:t>
      </w:r>
    </w:p>
    <w:p w14:paraId="28A2A6DC" w14:textId="77777777" w:rsidR="007614F7" w:rsidRPr="00AB3A8F" w:rsidRDefault="007614F7" w:rsidP="007614F7">
      <w:pPr>
        <w:rPr>
          <w:bCs/>
        </w:rPr>
      </w:pPr>
      <w:r w:rsidRPr="00AB3A8F">
        <w:rPr>
          <w:bCs/>
        </w:rPr>
        <w:t>None.</w:t>
      </w:r>
    </w:p>
    <w:p w14:paraId="02E80670" w14:textId="77777777" w:rsidR="007614F7" w:rsidRDefault="007614F7" w:rsidP="007614F7">
      <w:pPr>
        <w:rPr>
          <w:b/>
        </w:rPr>
      </w:pPr>
    </w:p>
    <w:p w14:paraId="1A4BB93A" w14:textId="77777777" w:rsidR="007614F7" w:rsidRDefault="007614F7" w:rsidP="007614F7">
      <w:pPr>
        <w:rPr>
          <w:b/>
        </w:rPr>
      </w:pPr>
    </w:p>
    <w:p w14:paraId="660DA4EF" w14:textId="77777777" w:rsidR="007614F7" w:rsidRDefault="007614F7" w:rsidP="007614F7">
      <w:r>
        <w:rPr>
          <w:b/>
        </w:rPr>
        <w:t xml:space="preserve">Approach to Disseminate Research: </w:t>
      </w:r>
      <w:r w:rsidRPr="00AB3A8F">
        <w:rPr>
          <w:i/>
          <w:iCs/>
        </w:rPr>
        <w:t>Please briefly describe strategy to disseminate research to interested parties including growers and the scientific community.</w:t>
      </w:r>
    </w:p>
    <w:p w14:paraId="347D64E1" w14:textId="77777777" w:rsidR="007614F7" w:rsidRDefault="007614F7" w:rsidP="007614F7">
      <w:r>
        <w:t>I routinely present at MSUE and ag industry meetings and field days. We also develop MSU and multistate extension publications. I also have an active Twitter account that I use to highlight critical disease management advice at timely points throughout the growing season. In addition, we do publish our research in peer reviewed publications, which is a critical element of developing rigorous research and recommendations.</w:t>
      </w:r>
    </w:p>
    <w:p w14:paraId="4993CF79" w14:textId="77777777" w:rsidR="007614F7" w:rsidRDefault="007614F7" w:rsidP="007614F7"/>
    <w:p w14:paraId="468B3697" w14:textId="77777777" w:rsidR="007614F7" w:rsidRDefault="007614F7" w:rsidP="007614F7"/>
    <w:p w14:paraId="65BA0C54" w14:textId="77777777" w:rsidR="007614F7" w:rsidRDefault="007614F7" w:rsidP="007614F7">
      <w:pPr>
        <w:rPr>
          <w:b/>
        </w:rPr>
      </w:pPr>
      <w:r>
        <w:rPr>
          <w:b/>
        </w:rPr>
        <w:t>Please Indicate which Month is appropriate and that you are able to provide an article with photos, graphs, charts other graphics for publication in the Michigan Wheat e-newsletter and for release through wheat and other media channels. What is your timeline and source for getting information to growers.</w:t>
      </w:r>
    </w:p>
    <w:p w14:paraId="03B79DDD" w14:textId="3904EEC9" w:rsidR="00536E5B" w:rsidRDefault="007614F7" w:rsidP="007614F7">
      <w:pPr>
        <w:rPr>
          <w:bCs/>
        </w:rPr>
      </w:pPr>
      <w:r>
        <w:rPr>
          <w:bCs/>
        </w:rPr>
        <w:t>May – article on use of head scab management</w:t>
      </w:r>
    </w:p>
    <w:p w14:paraId="5653F267" w14:textId="1A0B2726" w:rsidR="007614F7" w:rsidRDefault="007614F7" w:rsidP="007614F7">
      <w:pPr>
        <w:rPr>
          <w:bCs/>
        </w:rPr>
      </w:pPr>
      <w:r>
        <w:rPr>
          <w:bCs/>
        </w:rPr>
        <w:t>June – article on wheat disease status, and screening for viral diseases</w:t>
      </w:r>
    </w:p>
    <w:p w14:paraId="77E2D730" w14:textId="1979F3E5" w:rsidR="007614F7" w:rsidRPr="000416C7" w:rsidRDefault="007614F7" w:rsidP="007614F7">
      <w:pPr>
        <w:rPr>
          <w:rFonts w:cstheme="minorHAnsi"/>
        </w:rPr>
      </w:pPr>
      <w:r>
        <w:rPr>
          <w:bCs/>
        </w:rPr>
        <w:t>July – article on diseases as appropriate for the year, i.e. follow up on head scab or sooty mold etc as problems arise</w:t>
      </w:r>
    </w:p>
    <w:sectPr w:rsidR="007614F7" w:rsidRPr="000416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81316454">
    <w:abstractNumId w:val="19"/>
  </w:num>
  <w:num w:numId="2" w16cid:durableId="1630087035">
    <w:abstractNumId w:val="12"/>
  </w:num>
  <w:num w:numId="3" w16cid:durableId="2110077345">
    <w:abstractNumId w:val="10"/>
  </w:num>
  <w:num w:numId="4" w16cid:durableId="61105268">
    <w:abstractNumId w:val="21"/>
  </w:num>
  <w:num w:numId="5" w16cid:durableId="652835030">
    <w:abstractNumId w:val="13"/>
  </w:num>
  <w:num w:numId="6" w16cid:durableId="672412730">
    <w:abstractNumId w:val="16"/>
  </w:num>
  <w:num w:numId="7" w16cid:durableId="310447973">
    <w:abstractNumId w:val="18"/>
  </w:num>
  <w:num w:numId="8" w16cid:durableId="1076128410">
    <w:abstractNumId w:val="9"/>
  </w:num>
  <w:num w:numId="9" w16cid:durableId="2022199695">
    <w:abstractNumId w:val="7"/>
  </w:num>
  <w:num w:numId="10" w16cid:durableId="1898079815">
    <w:abstractNumId w:val="6"/>
  </w:num>
  <w:num w:numId="11" w16cid:durableId="369114381">
    <w:abstractNumId w:val="5"/>
  </w:num>
  <w:num w:numId="12" w16cid:durableId="1742752221">
    <w:abstractNumId w:val="4"/>
  </w:num>
  <w:num w:numId="13" w16cid:durableId="2055234112">
    <w:abstractNumId w:val="8"/>
  </w:num>
  <w:num w:numId="14" w16cid:durableId="2133281076">
    <w:abstractNumId w:val="3"/>
  </w:num>
  <w:num w:numId="15" w16cid:durableId="1244298644">
    <w:abstractNumId w:val="2"/>
  </w:num>
  <w:num w:numId="16" w16cid:durableId="118452117">
    <w:abstractNumId w:val="1"/>
  </w:num>
  <w:num w:numId="17" w16cid:durableId="1707832057">
    <w:abstractNumId w:val="0"/>
  </w:num>
  <w:num w:numId="18" w16cid:durableId="658075927">
    <w:abstractNumId w:val="14"/>
  </w:num>
  <w:num w:numId="19" w16cid:durableId="1888179485">
    <w:abstractNumId w:val="15"/>
  </w:num>
  <w:num w:numId="20" w16cid:durableId="1552226019">
    <w:abstractNumId w:val="20"/>
  </w:num>
  <w:num w:numId="21" w16cid:durableId="1587689277">
    <w:abstractNumId w:val="17"/>
  </w:num>
  <w:num w:numId="22" w16cid:durableId="492718924">
    <w:abstractNumId w:val="11"/>
  </w:num>
  <w:num w:numId="23" w16cid:durableId="14450350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122"/>
    <w:rsid w:val="0001294E"/>
    <w:rsid w:val="00026CCC"/>
    <w:rsid w:val="000416C7"/>
    <w:rsid w:val="00093E58"/>
    <w:rsid w:val="000E43A6"/>
    <w:rsid w:val="001459F4"/>
    <w:rsid w:val="00162ABB"/>
    <w:rsid w:val="00183C7E"/>
    <w:rsid w:val="001F786C"/>
    <w:rsid w:val="002D6857"/>
    <w:rsid w:val="003E0876"/>
    <w:rsid w:val="00455EF1"/>
    <w:rsid w:val="004D2815"/>
    <w:rsid w:val="004D6A6B"/>
    <w:rsid w:val="005218EB"/>
    <w:rsid w:val="00536E5B"/>
    <w:rsid w:val="005430D9"/>
    <w:rsid w:val="00564770"/>
    <w:rsid w:val="00566036"/>
    <w:rsid w:val="005B3122"/>
    <w:rsid w:val="006108F7"/>
    <w:rsid w:val="00645252"/>
    <w:rsid w:val="00666451"/>
    <w:rsid w:val="00670109"/>
    <w:rsid w:val="006B14DE"/>
    <w:rsid w:val="006C291B"/>
    <w:rsid w:val="006D3D74"/>
    <w:rsid w:val="006F2B06"/>
    <w:rsid w:val="0071518C"/>
    <w:rsid w:val="007614F7"/>
    <w:rsid w:val="00790BFD"/>
    <w:rsid w:val="007C06D3"/>
    <w:rsid w:val="008364CB"/>
    <w:rsid w:val="008629F1"/>
    <w:rsid w:val="00886DFE"/>
    <w:rsid w:val="008979E8"/>
    <w:rsid w:val="009C7095"/>
    <w:rsid w:val="00A52581"/>
    <w:rsid w:val="00A739EE"/>
    <w:rsid w:val="00A9204E"/>
    <w:rsid w:val="00A9315B"/>
    <w:rsid w:val="00A952CF"/>
    <w:rsid w:val="00AF16CF"/>
    <w:rsid w:val="00B13ED8"/>
    <w:rsid w:val="00B548CF"/>
    <w:rsid w:val="00BA6C12"/>
    <w:rsid w:val="00CF2C96"/>
    <w:rsid w:val="00CF6439"/>
    <w:rsid w:val="00D502B0"/>
    <w:rsid w:val="00E97BBD"/>
    <w:rsid w:val="00EC29C8"/>
    <w:rsid w:val="00ED21A8"/>
    <w:rsid w:val="00EF6A06"/>
    <w:rsid w:val="00EF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135F5"/>
  <w15:chartTrackingRefBased/>
  <w15:docId w15:val="{BEC85054-5EEE-41C6-BD6F-9FC63B59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character" w:customStyle="1" w:styleId="UnresolvedMention1">
    <w:name w:val="Unresolved Mention1"/>
    <w:basedOn w:val="DefaultParagraphFont"/>
    <w:uiPriority w:val="99"/>
    <w:semiHidden/>
    <w:unhideWhenUsed/>
    <w:rsid w:val="008979E8"/>
    <w:rPr>
      <w:color w:val="605E5C"/>
      <w:shd w:val="clear" w:color="auto" w:fill="E1DFDD"/>
    </w:rPr>
  </w:style>
  <w:style w:type="paragraph" w:styleId="NormalWeb">
    <w:name w:val="Normal (Web)"/>
    <w:basedOn w:val="Normal"/>
    <w:uiPriority w:val="99"/>
    <w:semiHidden/>
    <w:unhideWhenUsed/>
    <w:rsid w:val="0066645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38621">
      <w:bodyDiv w:val="1"/>
      <w:marLeft w:val="0"/>
      <w:marRight w:val="0"/>
      <w:marTop w:val="0"/>
      <w:marBottom w:val="0"/>
      <w:divBdr>
        <w:top w:val="none" w:sz="0" w:space="0" w:color="auto"/>
        <w:left w:val="none" w:sz="0" w:space="0" w:color="auto"/>
        <w:bottom w:val="none" w:sz="0" w:space="0" w:color="auto"/>
        <w:right w:val="none" w:sz="0" w:space="0" w:color="auto"/>
      </w:divBdr>
    </w:div>
    <w:div w:id="95768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opprotectionnetwork.org/resources/publications/fungicide-efficacy-for-control-of-wheat-diseases" TargetMode="External"/><Relationship Id="rId5" Type="http://schemas.openxmlformats.org/officeDocument/2006/relationships/styles" Target="styles.xml"/><Relationship Id="rId10" Type="http://schemas.openxmlformats.org/officeDocument/2006/relationships/image" Target="media/image2.svg"/><Relationship Id="rId4" Type="http://schemas.openxmlformats.org/officeDocument/2006/relationships/numbering" Target="numbering.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20Danileson\AppData\Roaming\Microsoft\Templates\Single%20spaced%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ichiganstate.sharepoint.com/sites/FieldCropPathology/Shared%20Documents/General/Field%20Data/2022%20Research/2022%20data/2022%20trial%20summaries/Agronomy%20wheat/2022%20Uniform%20wheat%20su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'[2022 Uniform wheat summary.xlsx]Graph'!$F$1</c:f>
              <c:strCache>
                <c:ptCount val="1"/>
                <c:pt idx="0">
                  <c:v>leaf_21Jun</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7F87-441C-9C0E-60A5CF616F4A}"/>
              </c:ext>
            </c:extLst>
          </c:dPt>
          <c:dLbls>
            <c:dLbl>
              <c:idx val="0"/>
              <c:tx>
                <c:rich>
                  <a:bodyPr/>
                  <a:lstStyle/>
                  <a:p>
                    <a:fld id="{21F33F7D-E2A0-49DE-8CFC-BC7864D544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F87-441C-9C0E-60A5CF616F4A}"/>
                </c:ext>
              </c:extLst>
            </c:dLbl>
            <c:dLbl>
              <c:idx val="1"/>
              <c:tx>
                <c:rich>
                  <a:bodyPr/>
                  <a:lstStyle/>
                  <a:p>
                    <a:fld id="{16C0CCC0-7471-4DA3-8453-44034A03F3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F87-441C-9C0E-60A5CF616F4A}"/>
                </c:ext>
              </c:extLst>
            </c:dLbl>
            <c:dLbl>
              <c:idx val="2"/>
              <c:tx>
                <c:rich>
                  <a:bodyPr/>
                  <a:lstStyle/>
                  <a:p>
                    <a:fld id="{63751423-EA7F-4FBC-9C4E-0FF17D4C7F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F87-441C-9C0E-60A5CF616F4A}"/>
                </c:ext>
              </c:extLst>
            </c:dLbl>
            <c:dLbl>
              <c:idx val="3"/>
              <c:tx>
                <c:rich>
                  <a:bodyPr/>
                  <a:lstStyle/>
                  <a:p>
                    <a:fld id="{D7FAE63A-67D1-4447-A522-CC9CD6F6E8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F87-441C-9C0E-60A5CF616F4A}"/>
                </c:ext>
              </c:extLst>
            </c:dLbl>
            <c:dLbl>
              <c:idx val="4"/>
              <c:tx>
                <c:rich>
                  <a:bodyPr/>
                  <a:lstStyle/>
                  <a:p>
                    <a:fld id="{39560C7A-6BD9-40EB-B317-9CEA7B838D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F87-441C-9C0E-60A5CF616F4A}"/>
                </c:ext>
              </c:extLst>
            </c:dLbl>
            <c:dLbl>
              <c:idx val="5"/>
              <c:tx>
                <c:rich>
                  <a:bodyPr/>
                  <a:lstStyle/>
                  <a:p>
                    <a:fld id="{6EA66653-1E86-4C27-AB23-B716D36CB4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F87-441C-9C0E-60A5CF616F4A}"/>
                </c:ext>
              </c:extLst>
            </c:dLbl>
            <c:dLbl>
              <c:idx val="6"/>
              <c:tx>
                <c:rich>
                  <a:bodyPr/>
                  <a:lstStyle/>
                  <a:p>
                    <a:fld id="{AAC6FBAB-5665-46B3-833B-09E7616CB1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F87-441C-9C0E-60A5CF616F4A}"/>
                </c:ext>
              </c:extLst>
            </c:dLbl>
            <c:dLbl>
              <c:idx val="7"/>
              <c:tx>
                <c:rich>
                  <a:bodyPr/>
                  <a:lstStyle/>
                  <a:p>
                    <a:fld id="{5FDFDDB1-9079-4B1A-A7A0-067AE2E2F2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F87-441C-9C0E-60A5CF616F4A}"/>
                </c:ext>
              </c:extLst>
            </c:dLbl>
            <c:dLbl>
              <c:idx val="8"/>
              <c:tx>
                <c:rich>
                  <a:bodyPr/>
                  <a:lstStyle/>
                  <a:p>
                    <a:fld id="{6C9993D1-1ABD-4327-9CB0-3006D2613E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F87-441C-9C0E-60A5CF616F4A}"/>
                </c:ext>
              </c:extLst>
            </c:dLbl>
            <c:dLbl>
              <c:idx val="9"/>
              <c:tx>
                <c:rich>
                  <a:bodyPr/>
                  <a:lstStyle/>
                  <a:p>
                    <a:fld id="{F40F6193-FC5D-41BE-91A3-3666D209A6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F87-441C-9C0E-60A5CF616F4A}"/>
                </c:ext>
              </c:extLst>
            </c:dLbl>
            <c:dLbl>
              <c:idx val="10"/>
              <c:tx>
                <c:rich>
                  <a:bodyPr/>
                  <a:lstStyle/>
                  <a:p>
                    <a:fld id="{FAAB8E62-3A56-4DA3-97D0-9174F72568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F87-441C-9C0E-60A5CF616F4A}"/>
                </c:ext>
              </c:extLst>
            </c:dLbl>
            <c:dLbl>
              <c:idx val="11"/>
              <c:tx>
                <c:rich>
                  <a:bodyPr/>
                  <a:lstStyle/>
                  <a:p>
                    <a:fld id="{18C298B3-1BCB-4616-8EDD-69F5CB4196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F87-441C-9C0E-60A5CF616F4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'[2022 Uniform wheat summary.xlsx]Graph'!$B$2:$B$13</c:f>
              <c:strCache>
                <c:ptCount val="12"/>
                <c:pt idx="0">
                  <c:v>Untreated check</c:v>
                </c:pt>
                <c:pt idx="1">
                  <c:v>Nexicor EX (7 fl oz) @ Feekes 9</c:v>
                </c:pt>
                <c:pt idx="2">
                  <c:v>Topguard (10 fl oz) @ Feekes 9</c:v>
                </c:pt>
                <c:pt idx="3">
                  <c:v>Priaxor (4 fl oz) @ Feekes 9</c:v>
                </c:pt>
                <c:pt idx="4">
                  <c:v>Trivapro SE (9.4 fl oz) @ Feekes 9</c:v>
                </c:pt>
                <c:pt idx="5">
                  <c:v>Delaro 325 SC (8 fl oz) @ Feekes 9</c:v>
                </c:pt>
                <c:pt idx="6">
                  <c:v>Quilt Xcel 2.2 SE (10.5 fl oz) @ Feekes 9</c:v>
                </c:pt>
                <c:pt idx="7">
                  <c:v>Tilt (4 fl oz) @ Feekes 9</c:v>
                </c:pt>
                <c:pt idx="8">
                  <c:v>Headline SC (6 fl oz) @ Feekes 9</c:v>
                </c:pt>
                <c:pt idx="9">
                  <c:v>Prosaro (8.2 fl oz) @ Feekes 10.5.1</c:v>
                </c:pt>
                <c:pt idx="10">
                  <c:v>Exp 1</c:v>
                </c:pt>
                <c:pt idx="11">
                  <c:v>Exp 2</c:v>
                </c:pt>
              </c:strCache>
            </c:strRef>
          </c:cat>
          <c:val>
            <c:numRef>
              <c:f>'[2022 Uniform wheat summary.xlsx]Graph'!$F$2:$F$13</c:f>
              <c:numCache>
                <c:formatCode>0.0</c:formatCode>
                <c:ptCount val="12"/>
                <c:pt idx="0">
                  <c:v>4.75</c:v>
                </c:pt>
                <c:pt idx="1">
                  <c:v>1.25</c:v>
                </c:pt>
                <c:pt idx="2">
                  <c:v>1.5</c:v>
                </c:pt>
                <c:pt idx="3">
                  <c:v>1</c:v>
                </c:pt>
                <c:pt idx="4">
                  <c:v>1</c:v>
                </c:pt>
                <c:pt idx="5">
                  <c:v>1.5</c:v>
                </c:pt>
                <c:pt idx="6">
                  <c:v>1</c:v>
                </c:pt>
                <c:pt idx="7">
                  <c:v>3</c:v>
                </c:pt>
                <c:pt idx="8">
                  <c:v>1</c:v>
                </c:pt>
                <c:pt idx="9">
                  <c:v>1</c:v>
                </c:pt>
                <c:pt idx="10">
                  <c:v>3</c:v>
                </c:pt>
                <c:pt idx="11">
                  <c:v>4.25</c:v>
                </c:pt>
              </c:numCache>
            </c:numRef>
          </c:val>
          <c:extLst>
            <c:ext xmlns:c15="http://schemas.microsoft.com/office/drawing/2012/chart" uri="{02D57815-91ED-43cb-92C2-25804820EDAC}">
              <c15:datalabelsRange>
                <c15:f>'[2022 Uniform wheat summary.xlsx]Graph'!$G$2:$G$13</c15:f>
                <c15:dlblRangeCache>
                  <c:ptCount val="12"/>
                  <c:pt idx="0">
                    <c:v>a</c:v>
                  </c:pt>
                  <c:pt idx="1">
                    <c:v>c</c:v>
                  </c:pt>
                  <c:pt idx="2">
                    <c:v>c</c:v>
                  </c:pt>
                  <c:pt idx="3">
                    <c:v>c</c:v>
                  </c:pt>
                  <c:pt idx="4">
                    <c:v>c</c:v>
                  </c:pt>
                  <c:pt idx="5">
                    <c:v>c</c:v>
                  </c:pt>
                  <c:pt idx="6">
                    <c:v>c</c:v>
                  </c:pt>
                  <c:pt idx="7">
                    <c:v>b</c:v>
                  </c:pt>
                  <c:pt idx="8">
                    <c:v>c</c:v>
                  </c:pt>
                  <c:pt idx="9">
                    <c:v>c</c:v>
                  </c:pt>
                  <c:pt idx="10">
                    <c:v>b</c:v>
                  </c:pt>
                  <c:pt idx="11">
                    <c:v>ab</c:v>
                  </c:pt>
                </c15:dlblRangeCache>
              </c15:datalabelsRange>
            </c:ext>
            <c:ext xmlns:c16="http://schemas.microsoft.com/office/drawing/2014/chart" uri="{C3380CC4-5D6E-409C-BE32-E72D297353CC}">
              <c16:uniqueId val="{0000000D-7F87-441C-9C0E-60A5CF616F4A}"/>
            </c:ext>
          </c:extLst>
        </c:ser>
        <c:dLbls>
          <c:showLegendKey val="0"/>
          <c:showVal val="0"/>
          <c:showCatName val="0"/>
          <c:showSerName val="0"/>
          <c:showPercent val="0"/>
          <c:showBubbleSize val="0"/>
        </c:dLbls>
        <c:gapWidth val="219"/>
        <c:overlap val="-27"/>
        <c:axId val="1606959808"/>
        <c:axId val="1606950208"/>
      </c:barChart>
      <c:catAx>
        <c:axId val="16069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6950208"/>
        <c:crosses val="autoZero"/>
        <c:auto val="1"/>
        <c:lblAlgn val="ctr"/>
        <c:lblOffset val="100"/>
        <c:noMultiLvlLbl val="0"/>
      </c:catAx>
      <c:valAx>
        <c:axId val="160695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Leaf disease % - June 21st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695980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12ACA4D0CD3A45A5391F9A8983AC5B" ma:contentTypeVersion="11" ma:contentTypeDescription="Create a new document." ma:contentTypeScope="" ma:versionID="c45348f43ba72a8782e6fb98efa22b94">
  <xsd:schema xmlns:xsd="http://www.w3.org/2001/XMLSchema" xmlns:xs="http://www.w3.org/2001/XMLSchema" xmlns:p="http://schemas.microsoft.com/office/2006/metadata/properties" xmlns:ns2="2dd95304-bbe5-476c-beb6-f3327ced3f9d" xmlns:ns3="a978a572-3b23-40e3-99a0-5bdf61718993" targetNamespace="http://schemas.microsoft.com/office/2006/metadata/properties" ma:root="true" ma:fieldsID="090b79c1b5c5e4b697b50e57e83d222d" ns2:_="" ns3:_="">
    <xsd:import namespace="2dd95304-bbe5-476c-beb6-f3327ced3f9d"/>
    <xsd:import namespace="a978a572-3b23-40e3-99a0-5bdf617189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95304-bbe5-476c-beb6-f3327ced3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78a572-3b23-40e3-99a0-5bdf617189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DE7713-CB4A-43DA-B55D-BB69DB77F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95304-bbe5-476c-beb6-f3327ced3f9d"/>
    <ds:schemaRef ds:uri="a978a572-3b23-40e3-99a0-5bdf61718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897BCB-2869-49DB-8A26-07B0CB0E3D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6</Pages>
  <Words>1970</Words>
  <Characters>11233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Danileson</dc:creator>
  <cp:keywords/>
  <dc:description/>
  <cp:lastModifiedBy>Denise Donohue</cp:lastModifiedBy>
  <cp:revision>2</cp:revision>
  <cp:lastPrinted>2023-07-10T02:11:00Z</cp:lastPrinted>
  <dcterms:created xsi:type="dcterms:W3CDTF">2023-07-10T02:12:00Z</dcterms:created>
  <dcterms:modified xsi:type="dcterms:W3CDTF">2023-07-10T02:12:00Z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0x0101001812ACA4D0CD3A45A5391F9A8983AC5B</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